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Xabe5f6d600cbb4aa21d3b077661ade8052ab41b"/>
    <w:p>
      <w:pPr>
        <w:pStyle w:val="Heading1"/>
      </w:pPr>
      <w:r>
        <w:t xml:space="preserve">Analyse d’Impact relative à la Protection des Données (AIPD)</w:t>
      </w:r>
    </w:p>
    <w:bookmarkStart w:id="9" w:name="X3fa4429de7585d74acb6b7732e00cdac1f2a6d1"/>
    <w:p>
      <w:pPr>
        <w:pStyle w:val="Heading2"/>
      </w:pPr>
      <w:r>
        <w:t xml:space="preserve">AIPD cadre pré-remplie pour les établissements scolaires</w:t>
      </w:r>
    </w:p>
    <w:p>
      <w:pPr>
        <w:pStyle w:val="FirstParagraph"/>
      </w:pPr>
      <w:r>
        <w:rPr>
          <w:b/>
          <w:bCs/>
        </w:rPr>
        <w:t xml:space="preserve">Service concerné :</w:t>
      </w:r>
      <w:r>
        <w:t xml:space="preserve"> </w:t>
      </w:r>
      <w:r>
        <w:t xml:space="preserve">EvalIA - Application d’aide à l’évaluation pédagogique avec IA</w:t>
      </w:r>
    </w:p>
    <w:p>
      <w:pPr>
        <w:pStyle w:val="BodyText"/>
      </w:pPr>
      <w:r>
        <w:rPr>
          <w:b/>
          <w:bCs/>
        </w:rPr>
        <w:t xml:space="preserve">Version du modèle :</w:t>
      </w:r>
      <w:r>
        <w:t xml:space="preserve"> </w:t>
      </w:r>
      <w:r>
        <w:t xml:space="preserve">1.5 - 15 septembre 2026</w:t>
      </w:r>
    </w:p>
    <w:p>
      <w:r>
        <w:pict>
          <v:rect style="width:0;height:1.5pt" o:hralign="center" o:hrstd="t" o:hr="t"/>
        </w:pict>
      </w:r>
    </w:p>
    <w:p>
      <w:pPr>
        <w:pStyle w:val="BlockText"/>
      </w:pPr>
      <w:r>
        <w:rPr>
          <w:b/>
          <w:bCs/>
        </w:rPr>
        <w:t xml:space="preserve">Note importante</w:t>
      </w:r>
    </w:p>
    <w:p>
      <w:pPr>
        <w:pStyle w:val="BlockText"/>
      </w:pPr>
      <w:r>
        <w:t xml:space="preserve">Ce document est l’</w:t>
      </w:r>
      <w:r>
        <w:rPr>
          <w:b/>
          <w:bCs/>
        </w:rPr>
        <w:t xml:space="preserve">« AIPD cadre » recommandée par la CNIL</w:t>
      </w:r>
      <w:r>
        <w:t xml:space="preserve"> </w:t>
      </w:r>
      <w:r>
        <w:t xml:space="preserve">dans sa FAQ du 18 juin 2025 destinée aux</w:t>
      </w:r>
      <w:r>
        <w:t xml:space="preserve"> </w:t>
      </w:r>
      <w:r>
        <w:t xml:space="preserve">responsables de traitement (« Responsable de traitement : comment mettre en place des systèmes d’IA dans</w:t>
      </w:r>
      <w:r>
        <w:t xml:space="preserve"> </w:t>
      </w:r>
      <w:r>
        <w:t xml:space="preserve">l’éducation ? ») : le fournisseur « met à disposition des établissements une AIPD cadre qui contiendra les</w:t>
      </w:r>
      <w:r>
        <w:t xml:space="preserve"> </w:t>
      </w:r>
      <w:r>
        <w:t xml:space="preserve">éléments communs du traitement », que le responsable de traitement complète et personnalise. Il est fourni</w:t>
      </w:r>
      <w:r>
        <w:t xml:space="preserve"> </w:t>
      </w:r>
      <w:r>
        <w:t xml:space="preserve">par l’éditeur d’EvalIA au titre de son obligation d’assistance (article 28.3.f du RGPD), et suit les quatre</w:t>
      </w:r>
      <w:r>
        <w:t xml:space="preserve"> </w:t>
      </w:r>
      <w:r>
        <w:t xml:space="preserve">blocs attendus par la CNIL : description du traitement (§1-2), analyse juridique (§1.2), évaluation des</w:t>
      </w:r>
      <w:r>
        <w:t xml:space="preserve"> </w:t>
      </w:r>
      <w:r>
        <w:t xml:space="preserve">risques (§3), mesures (§4-5).</w:t>
      </w:r>
    </w:p>
    <w:p>
      <w:pPr>
        <w:pStyle w:val="BlockText"/>
      </w:pPr>
      <w:r>
        <w:rPr>
          <w:b/>
          <w:bCs/>
        </w:rPr>
        <w:t xml:space="preserve">L’établissement reste responsable de traitement</w:t>
      </w:r>
      <w:r>
        <w:t xml:space="preserve"> </w:t>
      </w:r>
      <w:r>
        <w:t xml:space="preserve">et doit adapter ce document à son contexte spécifique,</w:t>
      </w:r>
      <w:r>
        <w:t xml:space="preserve"> </w:t>
      </w:r>
      <w:r>
        <w:t xml:space="preserve">le valider avec son DPO académique — que la CNIL demande d’associer systématiquement — et l’inscrire à son</w:t>
      </w:r>
      <w:r>
        <w:t xml:space="preserve"> </w:t>
      </w:r>
      <w:r>
        <w:t xml:space="preserve">registre des activités de traitement.</w:t>
      </w:r>
    </w:p>
    <w:p>
      <w:pPr>
        <w:pStyle w:val="BlockText"/>
      </w:pPr>
      <w:r>
        <w:t xml:space="preserve">Les sections marquées [À COMPLÉTER PAR L’ÉTABLISSEMENT] nécessitent une saisie obligatoire.</w:t>
      </w:r>
    </w:p>
    <w:p>
      <w:r>
        <w:pict>
          <v:rect style="width:0;height:1.5pt" o:hralign="center" o:hrstd="t" o:hr="t"/>
        </w:pict>
      </w:r>
    </w:p>
    <w:bookmarkEnd w:id="9"/>
    <w:bookmarkStart w:id="10" w:name="informations-de-létablissement"/>
    <w:p>
      <w:pPr>
        <w:pStyle w:val="Heading2"/>
      </w:pPr>
      <w:r>
        <w:t xml:space="preserve">Informations de l’établissement</w:t>
      </w:r>
    </w:p>
    <w:p>
      <w:pPr>
        <w:pStyle w:val="FirstParagraph"/>
      </w:pPr>
      <w:r>
        <w:rPr>
          <w:b/>
          <w:bCs/>
        </w:rPr>
        <w:t xml:space="preserve">Nom de l’établissement :</w:t>
      </w:r>
      <w:r>
        <w:t xml:space="preserve"> </w:t>
      </w:r>
      <w:r>
        <w:t xml:space="preserve">[À COMPLÉTER PAR L’ÉTABLISSEMENT]</w:t>
      </w:r>
    </w:p>
    <w:p>
      <w:pPr>
        <w:pStyle w:val="BodyText"/>
      </w:pPr>
      <w:r>
        <w:rPr>
          <w:b/>
          <w:bCs/>
        </w:rPr>
        <w:t xml:space="preserve">Code UAI :</w:t>
      </w:r>
      <w:r>
        <w:t xml:space="preserve"> </w:t>
      </w:r>
      <w:r>
        <w:t xml:space="preserve">[À COMPLÉTER PAR L’ÉTABLISSEMENT]</w:t>
      </w:r>
    </w:p>
    <w:p>
      <w:pPr>
        <w:pStyle w:val="BodyText"/>
      </w:pPr>
      <w:r>
        <w:rPr>
          <w:b/>
          <w:bCs/>
        </w:rPr>
        <w:t xml:space="preserve">Adresse :</w:t>
      </w:r>
      <w:r>
        <w:t xml:space="preserve"> </w:t>
      </w:r>
      <w:r>
        <w:t xml:space="preserve">[À COMPLÉTER PAR L’ÉTABLISSEMENT]</w:t>
      </w:r>
    </w:p>
    <w:p>
      <w:pPr>
        <w:pStyle w:val="BodyText"/>
      </w:pPr>
      <w:r>
        <w:rPr>
          <w:b/>
          <w:bCs/>
        </w:rPr>
        <w:t xml:space="preserve">Responsable de traitement :</w:t>
      </w:r>
      <w:r>
        <w:t xml:space="preserve"> </w:t>
      </w:r>
      <w:r>
        <w:t xml:space="preserve">[À COMPLÉTER PAR L’ÉTABLISSEMENT - Chef d’établissement]</w:t>
      </w:r>
    </w:p>
    <w:p>
      <w:pPr>
        <w:pStyle w:val="BodyText"/>
      </w:pPr>
      <w:r>
        <w:rPr>
          <w:b/>
          <w:bCs/>
        </w:rPr>
        <w:t xml:space="preserve">DPO académique :</w:t>
      </w:r>
      <w:r>
        <w:t xml:space="preserve"> </w:t>
      </w:r>
      <w:r>
        <w:t xml:space="preserve">[À COMPLÉTER PAR L’ÉTABLISSEMENT]</w:t>
      </w:r>
    </w:p>
    <w:p>
      <w:pPr>
        <w:pStyle w:val="BodyText"/>
      </w:pPr>
      <w:r>
        <w:rPr>
          <w:b/>
          <w:bCs/>
        </w:rPr>
        <w:t xml:space="preserve">Email DPO :</w:t>
      </w:r>
      <w:r>
        <w:t xml:space="preserve"> </w:t>
      </w:r>
      <w:r>
        <w:t xml:space="preserve">[À COMPLÉTER PAR L’ÉTABLISSEMENT]</w:t>
      </w:r>
    </w:p>
    <w:p>
      <w:pPr>
        <w:pStyle w:val="BodyText"/>
      </w:pPr>
      <w:r>
        <w:rPr>
          <w:b/>
          <w:bCs/>
        </w:rPr>
        <w:t xml:space="preserve">Date de réalisation de l’AIPD :</w:t>
      </w:r>
      <w:r>
        <w:t xml:space="preserve"> </w:t>
      </w:r>
      <w:r>
        <w:t xml:space="preserve">[À COMPLÉTER PAR L’ÉTABLISSEMENT]</w:t>
      </w:r>
    </w:p>
    <w:p>
      <w:pPr>
        <w:pStyle w:val="BodyText"/>
      </w:pPr>
      <w:r>
        <w:rPr>
          <w:b/>
          <w:bCs/>
        </w:rPr>
        <w:t xml:space="preserve">Date de mise en production prévue :</w:t>
      </w:r>
      <w:r>
        <w:t xml:space="preserve"> </w:t>
      </w:r>
      <w:r>
        <w:t xml:space="preserve">[À COMPLÉTER PAR L’ÉTABLISSEMENT]</w:t>
      </w:r>
    </w:p>
    <w:p>
      <w:r>
        <w:pict>
          <v:rect style="width:0;height:1.5pt" o:hralign="center" o:hrstd="t" o:hr="t"/>
        </w:pict>
      </w:r>
    </w:p>
    <w:bookmarkEnd w:id="10"/>
    <w:bookmarkStart w:id="16" w:name="description-du-traitement"/>
    <w:p>
      <w:pPr>
        <w:pStyle w:val="Heading2"/>
      </w:pPr>
      <w:r>
        <w:t xml:space="preserve">1. Description du traitement</w:t>
      </w:r>
    </w:p>
    <w:bookmarkStart w:id="11" w:name="nature-du-traitement"/>
    <w:p>
      <w:pPr>
        <w:pStyle w:val="Heading3"/>
      </w:pPr>
      <w:r>
        <w:t xml:space="preserve">1.1 Nature du traitement</w:t>
      </w:r>
    </w:p>
    <w:p>
      <w:pPr>
        <w:pStyle w:val="FirstParagraph"/>
      </w:pPr>
      <w:r>
        <w:t xml:space="preserve">EvalIA est une application web d’aide à l’évaluation pédagogique multi-disciplines utilisant l’intelligence artificielle (Google Gemini via Vertex AI —</w:t>
      </w:r>
      <w:r>
        <w:t xml:space="preserve"> </w:t>
      </w:r>
      <w:r>
        <w:rPr>
          <w:b/>
          <w:bCs/>
        </w:rPr>
        <w:t xml:space="preserve">Gemini 3.7 Flash</w:t>
      </w:r>
      <w:r>
        <w:t xml:space="preserve"> </w:t>
      </w:r>
      <w:r>
        <w:t xml:space="preserve">sur la multi-région européenne (</w:t>
      </w:r>
      <w:r>
        <w:rPr>
          <w:rStyle w:val="VerbatimChar"/>
        </w:rPr>
        <w:t xml:space="preserve">eu</w:t>
      </w:r>
      <w:r>
        <w:t xml:space="preserve">) comme modèle principal, notamment pour la correction de copies ;</w:t>
      </w:r>
      <w:r>
        <w:t xml:space="preserve"> </w:t>
      </w:r>
      <w:r>
        <w:rPr>
          <w:b/>
          <w:bCs/>
        </w:rPr>
        <w:t xml:space="preserve">Gemini 2.5 Flash</w:t>
      </w:r>
      <w:r>
        <w:t xml:space="preserve"> </w:t>
      </w:r>
      <w:r>
        <w:t xml:space="preserve">en</w:t>
      </w:r>
      <w:r>
        <w:t xml:space="preserve"> </w:t>
      </w:r>
      <w:r>
        <w:rPr>
          <w:rStyle w:val="VerbatimChar"/>
        </w:rPr>
        <w:t xml:space="preserve">europe-west1</w:t>
      </w:r>
      <w:r>
        <w:t xml:space="preserve"> </w:t>
      </w:r>
      <w:r>
        <w:t xml:space="preserve">(Belgique, UE) pour la création de contenus, les assistants conversationnels et en repli de toutes les routes principales). Elle permet aux enseignants de :</w:t>
      </w:r>
    </w:p>
    <w:p>
      <w:pPr>
        <w:pStyle w:val="BodyText"/>
      </w:pPr>
      <w:r>
        <w:rPr>
          <w:b/>
          <w:bCs/>
        </w:rPr>
        <w:t xml:space="preserve">Évaluation et correction :</w:t>
      </w:r>
      <w:r>
        <w:t xml:space="preserve"> </w:t>
      </w:r>
      <w:r>
        <w:t xml:space="preserve">- Générer des barèmes d’évaluation à partir de sujets d’examen</w:t>
      </w:r>
      <w:r>
        <w:t xml:space="preserve"> </w:t>
      </w:r>
      <w:r>
        <w:t xml:space="preserve">- Extraire, transcrire et améliorer des barèmes existants</w:t>
      </w:r>
      <w:r>
        <w:t xml:space="preserve"> </w:t>
      </w:r>
      <w:r>
        <w:t xml:space="preserve">- Analyser des copies d’élèves avec notation par compétences (D/A/PA/NA)</w:t>
      </w:r>
      <w:r>
        <w:t xml:space="preserve"> </w:t>
      </w:r>
      <w:r>
        <w:t xml:space="preserve">- Recevoir des copies via un lien de dépôt sécurisé (validité du lien de 1 à 14 jours au choix de l’enseignant, 7 jours par défaut ; suppression automatique 30 jours après la correction)</w:t>
      </w:r>
      <w:r>
        <w:t xml:space="preserve"> </w:t>
      </w:r>
      <w:r>
        <w:t xml:space="preserve">- Partager les corrections via des liens publics sécurisés</w:t>
      </w:r>
      <w:r>
        <w:t xml:space="preserve"> </w:t>
      </w:r>
      <w:r>
        <w:t xml:space="preserve">- Suivre la progression des élèves, les noms saisis par l’enseignant étant chiffrés de bout en bout</w:t>
      </w:r>
      <w:r>
        <w:t xml:space="preserve"> </w:t>
      </w:r>
      <w:r>
        <w:t xml:space="preserve">- Exporter des rapports PDF professionnels</w:t>
      </w:r>
    </w:p>
    <w:p>
      <w:pPr>
        <w:pStyle w:val="BodyText"/>
      </w:pPr>
      <w:r>
        <w:rPr>
          <w:b/>
          <w:bCs/>
        </w:rPr>
        <w:t xml:space="preserve">TeacherStudio (création de ressources) :</w:t>
      </w:r>
      <w:r>
        <w:t xml:space="preserve"> </w:t>
      </w:r>
      <w:r>
        <w:t xml:space="preserve">- Uploader et indexer des documents sources (RAG)</w:t>
      </w:r>
      <w:r>
        <w:t xml:space="preserve"> </w:t>
      </w:r>
      <w:r>
        <w:t xml:space="preserve">- Générer des contenus pédagogiques (évaluations, fiches de cours, résumés)</w:t>
      </w:r>
      <w:r>
        <w:t xml:space="preserve"> </w:t>
      </w:r>
      <w:r>
        <w:t xml:space="preserve">- Générer des visuels pédagogiques (schémas, diagrammes, infographies)</w:t>
      </w:r>
      <w:r>
        <w:t xml:space="preserve"> </w:t>
      </w:r>
      <w:r>
        <w:t xml:space="preserve">- Configurer des chatbots IA pour les élèves</w:t>
      </w:r>
    </w:p>
    <w:p>
      <w:pPr>
        <w:pStyle w:val="BodyText"/>
      </w:pPr>
      <w:r>
        <w:rPr>
          <w:b/>
          <w:bCs/>
        </w:rPr>
        <w:t xml:space="preserve">Exercices interactifs :</w:t>
      </w:r>
      <w:r>
        <w:t xml:space="preserve"> </w:t>
      </w:r>
      <w:r>
        <w:t xml:space="preserve">- Créer des exercices multi-types (QCM, vrai/faux, association, classement, texte à trous, réponse courte, ouverte)</w:t>
      </w:r>
      <w:r>
        <w:t xml:space="preserve"> </w:t>
      </w:r>
      <w:r>
        <w:t xml:space="preserve">- Distribuer aux élèves via lien + code d’accès (sans compte élève)</w:t>
      </w:r>
      <w:r>
        <w:t xml:space="preserve"> </w:t>
      </w:r>
      <w:r>
        <w:t xml:space="preserve">- Animer des sessions en temps réel façon Kahoot (mode Live)</w:t>
      </w:r>
    </w:p>
    <w:p>
      <w:pPr>
        <w:pStyle w:val="BodyText"/>
      </w:pPr>
      <w:r>
        <w:rPr>
          <w:b/>
          <w:bCs/>
        </w:rPr>
        <w:t xml:space="preserve">Remédiation et Plans de Travail :</w:t>
      </w:r>
      <w:r>
        <w:t xml:space="preserve"> </w:t>
      </w:r>
      <w:r>
        <w:t xml:space="preserve">- Générer des parcours de remédiation personnalisés par IA</w:t>
      </w:r>
      <w:r>
        <w:t xml:space="preserve"> </w:t>
      </w:r>
      <w:r>
        <w:t xml:space="preserve">- Créer des plans de travail multi-activités (pédagogie Freinet) avec 3 parcours de différenciation</w:t>
      </w:r>
      <w:r>
        <w:t xml:space="preserve"> </w:t>
      </w:r>
      <w:r>
        <w:t xml:space="preserve">- Suivre la progression des élèves en temps réel</w:t>
      </w:r>
    </w:p>
    <w:bookmarkEnd w:id="11"/>
    <w:bookmarkStart w:id="12" w:name="finalités-du-traitement"/>
    <w:p>
      <w:pPr>
        <w:pStyle w:val="Heading3"/>
      </w:pPr>
      <w:r>
        <w:t xml:space="preserve">1.2 Finalités du traitement</w:t>
      </w:r>
    </w:p>
    <w:tbl>
      <w:tblPr>
        <w:tblStyle w:val="Table"/>
        <w:tblW w:type="pct" w:w="5000"/>
        <w:tblLayout w:type="fixed"/>
        <w:tblLook w:firstRow="1" w:lastRow="0" w:firstColumn="0" w:lastColumn="0" w:noHBand="0" w:noVBand="0" w:val="0020"/>
      </w:tblPr>
      <w:tblGrid>
        <w:gridCol w:w="3443"/>
        <w:gridCol w:w="4476"/>
      </w:tblGrid>
      <w:tr>
        <w:trPr>
          <w:tblHeader w:val="on"/>
        </w:trPr>
        <w:tc>
          <w:tcPr/>
          <w:p>
            <w:pPr>
              <w:pStyle w:val="Compact"/>
            </w:pPr>
            <w:r>
              <w:t xml:space="preserve">Finalité</w:t>
            </w:r>
          </w:p>
        </w:tc>
        <w:tc>
          <w:tcPr/>
          <w:p>
            <w:pPr>
              <w:pStyle w:val="Compact"/>
            </w:pPr>
            <w:r>
              <w:t xml:space="preserve">Base légale</w:t>
            </w:r>
          </w:p>
        </w:tc>
      </w:tr>
      <w:tr>
        <w:tc>
          <w:tcPr/>
          <w:p>
            <w:pPr>
              <w:pStyle w:val="Compact"/>
            </w:pPr>
            <w:r>
              <w:t xml:space="preserve">Évaluation et correction assistée par IA</w:t>
            </w:r>
          </w:p>
        </w:tc>
        <w:tc>
          <w:tcPr/>
          <w:p>
            <w:pPr>
              <w:pStyle w:val="Compact"/>
            </w:pPr>
            <w:r>
              <w:t xml:space="preserve">Mission d’intérêt public (art. 6.1.e RGPD)</w:t>
            </w:r>
          </w:p>
        </w:tc>
      </w:tr>
      <w:tr>
        <w:tc>
          <w:tcPr/>
          <w:p>
            <w:pPr>
              <w:pStyle w:val="Compact"/>
            </w:pPr>
            <w:r>
              <w:t xml:space="preserve">Génération de barèmes</w:t>
            </w:r>
          </w:p>
        </w:tc>
        <w:tc>
          <w:tcPr/>
          <w:p>
            <w:pPr>
              <w:pStyle w:val="Compact"/>
            </w:pPr>
            <w:r>
              <w:t xml:space="preserve">Mission d’intérêt public (art. 6.1.e RGPD)</w:t>
            </w:r>
          </w:p>
        </w:tc>
      </w:tr>
      <w:tr>
        <w:tc>
          <w:tcPr/>
          <w:p>
            <w:pPr>
              <w:pStyle w:val="Compact"/>
            </w:pPr>
            <w:r>
              <w:t xml:space="preserve">Création de contenus pédagogiques (TeacherStudio)</w:t>
            </w:r>
          </w:p>
        </w:tc>
        <w:tc>
          <w:tcPr/>
          <w:p>
            <w:pPr>
              <w:pStyle w:val="Compact"/>
            </w:pPr>
            <w:r>
              <w:t xml:space="preserve">Mission d’intérêt public (art. 6.1.e RGPD)</w:t>
            </w:r>
          </w:p>
        </w:tc>
      </w:tr>
      <w:tr>
        <w:tc>
          <w:tcPr/>
          <w:p>
            <w:pPr>
              <w:pStyle w:val="Compact"/>
            </w:pPr>
            <w:r>
              <w:t xml:space="preserve">Distribution d’exercices aux élèves</w:t>
            </w:r>
          </w:p>
        </w:tc>
        <w:tc>
          <w:tcPr/>
          <w:p>
            <w:pPr>
              <w:pStyle w:val="Compact"/>
            </w:pPr>
            <w:r>
              <w:t xml:space="preserve">Intérêt légitime (mission pédagogique)</w:t>
            </w:r>
          </w:p>
        </w:tc>
      </w:tr>
      <w:tr>
        <w:tc>
          <w:tcPr/>
          <w:p>
            <w:pPr>
              <w:pStyle w:val="Compact"/>
            </w:pPr>
            <w:r>
              <w:t xml:space="preserve">Plans de travail et suivi de progression</w:t>
            </w:r>
          </w:p>
        </w:tc>
        <w:tc>
          <w:tcPr/>
          <w:p>
            <w:pPr>
              <w:pStyle w:val="Compact"/>
            </w:pPr>
            <w:r>
              <w:t xml:space="preserve">Intérêt légitime (mission pédagogique)</w:t>
            </w:r>
          </w:p>
        </w:tc>
      </w:tr>
      <w:tr>
        <w:tc>
          <w:tcPr/>
          <w:p>
            <w:pPr>
              <w:pStyle w:val="Compact"/>
            </w:pPr>
            <w:r>
              <w:t xml:space="preserve">Remédiation personnalisée par IA</w:t>
            </w:r>
          </w:p>
        </w:tc>
        <w:tc>
          <w:tcPr/>
          <w:p>
            <w:pPr>
              <w:pStyle w:val="Compact"/>
            </w:pPr>
            <w:r>
              <w:t xml:space="preserve">Intérêt légitime (mission pédagogique)</w:t>
            </w:r>
          </w:p>
        </w:tc>
      </w:tr>
      <w:tr>
        <w:tc>
          <w:tcPr/>
          <w:p>
            <w:pPr>
              <w:pStyle w:val="Compact"/>
            </w:pPr>
            <w:r>
              <w:t xml:space="preserve">Chatbots pédagogiques pour élèves</w:t>
            </w:r>
          </w:p>
        </w:tc>
        <w:tc>
          <w:tcPr/>
          <w:p>
            <w:pPr>
              <w:pStyle w:val="Compact"/>
            </w:pPr>
            <w:r>
              <w:t xml:space="preserve">Consentement</w:t>
            </w:r>
          </w:p>
        </w:tc>
      </w:tr>
      <w:tr>
        <w:tc>
          <w:tcPr/>
          <w:p>
            <w:pPr>
              <w:pStyle w:val="Compact"/>
            </w:pPr>
            <w:r>
              <w:t xml:space="preserve">Suivi longitudinal des élèves</w:t>
            </w:r>
          </w:p>
        </w:tc>
        <w:tc>
          <w:tcPr/>
          <w:p>
            <w:pPr>
              <w:pStyle w:val="Compact"/>
            </w:pPr>
            <w:r>
              <w:t xml:space="preserve">Intérêt légitime (suivi pédagogique)</w:t>
            </w:r>
          </w:p>
        </w:tc>
      </w:tr>
      <w:tr>
        <w:tc>
          <w:tcPr/>
          <w:p>
            <w:pPr>
              <w:pStyle w:val="Compact"/>
            </w:pPr>
            <w:r>
              <w:t xml:space="preserve">Gestion des abonnements et facturation</w:t>
            </w:r>
          </w:p>
        </w:tc>
        <w:tc>
          <w:tcPr/>
          <w:p>
            <w:pPr>
              <w:pStyle w:val="Compact"/>
            </w:pPr>
            <w:r>
              <w:t xml:space="preserve">Exécution du contrat (entre l’éditeur et son client)</w:t>
            </w:r>
          </w:p>
        </w:tc>
      </w:tr>
    </w:tbl>
    <w:p>
      <w:pPr>
        <w:pStyle w:val="BlockText"/>
      </w:pPr>
      <w:r>
        <w:rPr>
          <w:b/>
          <w:bCs/>
        </w:rPr>
        <w:t xml:space="preserve">Note bases légales</w:t>
      </w:r>
      <w:r>
        <w:t xml:space="preserve"> </w:t>
      </w:r>
      <w:r>
        <w:t xml:space="preserve">: pour un établissement public, les traitements pédagogiques reposent sur la mission d’intérêt public (art. 6.1.e du RGPD), que l’accès au service passe par un Plan Établissement ou par des licences individuelles souscrites par les enseignants. Pour un établissement privé, l’intérêt légitime attaché à la mission d’enseignement (art. 6.1.f) peut être retenu.</w:t>
      </w:r>
    </w:p>
    <w:bookmarkEnd w:id="12"/>
    <w:bookmarkStart w:id="13" w:name="personnes-concernées"/>
    <w:p>
      <w:pPr>
        <w:pStyle w:val="Heading3"/>
      </w:pPr>
      <w:r>
        <w:t xml:space="preserve">1.3 Personnes concernées</w:t>
      </w:r>
    </w:p>
    <w:tbl>
      <w:tblPr>
        <w:tblStyle w:val="Table"/>
        <w:tblW w:type="pct" w:w="5000"/>
        <w:tblLayout w:type="fixed"/>
        <w:tblLook w:firstRow="1" w:lastRow="0" w:firstColumn="0" w:lastColumn="0" w:noHBand="0" w:noVBand="0" w:val="0020"/>
      </w:tblPr>
      <w:tblGrid>
        <w:gridCol w:w="2722"/>
        <w:gridCol w:w="2970"/>
        <w:gridCol w:w="2227"/>
      </w:tblGrid>
      <w:tr>
        <w:trPr>
          <w:tblHeader w:val="on"/>
        </w:trPr>
        <w:tc>
          <w:tcPr/>
          <w:p>
            <w:pPr>
              <w:pStyle w:val="Compact"/>
            </w:pPr>
            <w:r>
              <w:t xml:space="preserve">Catégorie</w:t>
            </w:r>
          </w:p>
        </w:tc>
        <w:tc>
          <w:tcPr/>
          <w:p>
            <w:pPr>
              <w:pStyle w:val="Compact"/>
            </w:pPr>
            <w:r>
              <w:t xml:space="preserve">Estimation</w:t>
            </w:r>
          </w:p>
        </w:tc>
        <w:tc>
          <w:tcPr/>
          <w:p>
            <w:pPr>
              <w:pStyle w:val="Compact"/>
            </w:pPr>
            <w:r>
              <w:t xml:space="preserve">Qualité</w:t>
            </w:r>
          </w:p>
        </w:tc>
      </w:tr>
      <w:tr>
        <w:tc>
          <w:tcPr/>
          <w:p>
            <w:pPr>
              <w:pStyle w:val="Compact"/>
            </w:pPr>
            <w:r>
              <w:t xml:space="preserve">Enseignants de l’établissement</w:t>
            </w:r>
          </w:p>
        </w:tc>
        <w:tc>
          <w:tcPr/>
          <w:p>
            <w:pPr>
              <w:pStyle w:val="Compact"/>
            </w:pPr>
            <w:r>
              <w:t xml:space="preserve">[À COMPLÉTER PAR L’ÉTABLISSEMENT]</w:t>
            </w:r>
          </w:p>
        </w:tc>
        <w:tc>
          <w:tcPr/>
          <w:p>
            <w:pPr>
              <w:pStyle w:val="Compact"/>
            </w:pPr>
            <w:r>
              <w:t xml:space="preserve">Utilisateurs directs (compte EvalIA)</w:t>
            </w:r>
          </w:p>
        </w:tc>
      </w:tr>
      <w:tr>
        <w:tc>
          <w:tcPr/>
          <w:p>
            <w:pPr>
              <w:pStyle w:val="Compact"/>
            </w:pPr>
            <w:r>
              <w:t xml:space="preserve">Élèves</w:t>
            </w:r>
          </w:p>
        </w:tc>
        <w:tc>
          <w:tcPr/>
          <w:p>
            <w:pPr>
              <w:pStyle w:val="Compact"/>
            </w:pPr>
            <w:r>
              <w:t xml:space="preserve">[À COMPLÉTER PAR L’ÉTABLISSEMENT]</w:t>
            </w:r>
          </w:p>
        </w:tc>
        <w:tc>
          <w:tcPr/>
          <w:p>
            <w:pPr>
              <w:pStyle w:val="Compact"/>
            </w:pPr>
            <w:r>
              <w:t xml:space="preserve">Personnes concernées indirectes (pas de compte)</w:t>
            </w:r>
          </w:p>
        </w:tc>
      </w:tr>
      <w:tr>
        <w:tc>
          <w:tcPr/>
          <w:p>
            <w:pPr>
              <w:pStyle w:val="Compact"/>
            </w:pPr>
            <w:r>
              <w:t xml:space="preserve">Parents/représentants légaux</w:t>
            </w:r>
          </w:p>
        </w:tc>
        <w:tc>
          <w:tcPr/>
          <w:p>
            <w:pPr>
              <w:pStyle w:val="Compact"/>
            </w:pPr>
            <w:r>
              <w:t xml:space="preserve">[À COMPLÉTER PAR L’ÉTABLISSEMENT]</w:t>
            </w:r>
          </w:p>
        </w:tc>
        <w:tc>
          <w:tcPr/>
          <w:p>
            <w:pPr>
              <w:pStyle w:val="Compact"/>
            </w:pPr>
            <w:r>
              <w:t xml:space="preserve">Informés du traitement</w:t>
            </w:r>
          </w:p>
        </w:tc>
      </w:tr>
    </w:tbl>
    <w:p>
      <w:pPr>
        <w:pStyle w:val="BlockText"/>
      </w:pPr>
      <w:r>
        <w:rPr>
          <w:b/>
          <w:bCs/>
        </w:rPr>
        <w:t xml:space="preserve">Note</w:t>
      </w:r>
      <w:r>
        <w:t xml:space="preserve"> </w:t>
      </w:r>
      <w:r>
        <w:t xml:space="preserve">: Les élèves n’ont pas de compte EvalIA. Leur interaction se fait via des liens sécurisés (exercices, dépôts de copies, plans de travail) avec authentification par code + prénom.</w:t>
      </w:r>
    </w:p>
    <w:bookmarkEnd w:id="13"/>
    <w:bookmarkStart w:id="14" w:name="catégories-de-données-collectées"/>
    <w:p>
      <w:pPr>
        <w:pStyle w:val="Heading3"/>
      </w:pPr>
      <w:r>
        <w:t xml:space="preserve">1.4 Catégories de données collectées</w:t>
      </w:r>
    </w:p>
    <w:tbl>
      <w:tblPr>
        <w:tblStyle w:val="Table"/>
        <w:tblW w:type="pct" w:w="5000"/>
        <w:tblLayout w:type="fixed"/>
        <w:tblLook w:firstRow="1" w:lastRow="0" w:firstColumn="0" w:lastColumn="0" w:noHBand="0" w:noVBand="0" w:val="0020"/>
      </w:tblPr>
      <w:tblGrid>
        <w:gridCol w:w="2640"/>
        <w:gridCol w:w="2160"/>
        <w:gridCol w:w="3120"/>
      </w:tblGrid>
      <w:tr>
        <w:trPr>
          <w:tblHeader w:val="on"/>
        </w:trPr>
        <w:tc>
          <w:tcPr/>
          <w:p>
            <w:pPr>
              <w:pStyle w:val="Compact"/>
            </w:pPr>
            <w:r>
              <w:t xml:space="preserve">Catégorie</w:t>
            </w:r>
          </w:p>
        </w:tc>
        <w:tc>
          <w:tcPr/>
          <w:p>
            <w:pPr>
              <w:pStyle w:val="Compact"/>
            </w:pPr>
            <w:r>
              <w:t xml:space="preserve">Données</w:t>
            </w:r>
          </w:p>
        </w:tc>
        <w:tc>
          <w:tcPr/>
          <w:p>
            <w:pPr>
              <w:pStyle w:val="Compact"/>
            </w:pPr>
            <w:r>
              <w:t xml:space="preserve">Sensibilité</w:t>
            </w:r>
          </w:p>
        </w:tc>
      </w:tr>
      <w:tr>
        <w:tc>
          <w:tcPr/>
          <w:p>
            <w:pPr>
              <w:pStyle w:val="Compact"/>
            </w:pPr>
            <w:r>
              <w:rPr>
                <w:b/>
                <w:bCs/>
              </w:rPr>
              <w:t xml:space="preserve">Identification enseignant</w:t>
            </w:r>
          </w:p>
        </w:tc>
        <w:tc>
          <w:tcPr/>
          <w:p>
            <w:pPr>
              <w:pStyle w:val="Compact"/>
            </w:pPr>
            <w:r>
              <w:t xml:space="preserve">Email, discipline, niveaux enseignés</w:t>
            </w:r>
          </w:p>
        </w:tc>
        <w:tc>
          <w:tcPr/>
          <w:p>
            <w:pPr>
              <w:pStyle w:val="Compact"/>
            </w:pPr>
            <w:r>
              <w:t xml:space="preserve">Standard</w:t>
            </w:r>
          </w:p>
        </w:tc>
      </w:tr>
      <w:tr>
        <w:tc>
          <w:tcPr/>
          <w:p>
            <w:pPr>
              <w:pStyle w:val="Compact"/>
            </w:pPr>
            <w:r>
              <w:rPr>
                <w:b/>
                <w:bCs/>
              </w:rPr>
              <w:t xml:space="preserve">Barèmes</w:t>
            </w:r>
          </w:p>
        </w:tc>
        <w:tc>
          <w:tcPr/>
          <w:p>
            <w:pPr>
              <w:pStyle w:val="Compact"/>
            </w:pPr>
            <w:r>
              <w:t xml:space="preserve">Sujets d’examen, critères d’évaluation</w:t>
            </w:r>
          </w:p>
        </w:tc>
        <w:tc>
          <w:tcPr/>
          <w:p>
            <w:pPr>
              <w:pStyle w:val="Compact"/>
            </w:pPr>
            <w:r>
              <w:t xml:space="preserve">Standard</w:t>
            </w:r>
          </w:p>
        </w:tc>
      </w:tr>
      <w:tr>
        <w:tc>
          <w:tcPr/>
          <w:p>
            <w:pPr>
              <w:pStyle w:val="Compact"/>
            </w:pPr>
            <w:r>
              <w:rPr>
                <w:b/>
                <w:bCs/>
              </w:rPr>
              <w:t xml:space="preserve">Copies d’élèves</w:t>
            </w:r>
            <w:r>
              <w:t xml:space="preserve"> </w:t>
            </w:r>
            <w:r>
              <w:t xml:space="preserve">(correction)</w:t>
            </w:r>
          </w:p>
        </w:tc>
        <w:tc>
          <w:tcPr/>
          <w:p>
            <w:pPr>
              <w:pStyle w:val="Compact"/>
            </w:pPr>
            <w:r>
              <w:t xml:space="preserve">Original de la copie (image/PDF)</w:t>
            </w:r>
          </w:p>
        </w:tc>
        <w:tc>
          <w:tcPr/>
          <w:p>
            <w:pPr>
              <w:pStyle w:val="Compact"/>
            </w:pPr>
            <w:r>
              <w:rPr>
                <w:b/>
                <w:bCs/>
              </w:rPr>
              <w:t xml:space="preserve">Conservé 30 jours après sa correction</w:t>
            </w:r>
            <w:r>
              <w:t xml:space="preserve"> </w:t>
            </w:r>
            <w:r>
              <w:t xml:space="preserve">(et au plus tard le 31 août), UE (europe-west1), accès contrôlé, suppression automatique. En-tête (nom) masqué avant l’IA (pseudonymisation)</w:t>
            </w:r>
          </w:p>
        </w:tc>
      </w:tr>
      <w:tr>
        <w:tc>
          <w:tcPr/>
          <w:p>
            <w:pPr>
              <w:pStyle w:val="Compact"/>
            </w:pPr>
            <w:r>
              <w:rPr>
                <w:b/>
                <w:bCs/>
              </w:rPr>
              <w:t xml:space="preserve">Copies d’élèves</w:t>
            </w:r>
            <w:r>
              <w:t xml:space="preserve"> </w:t>
            </w:r>
            <w:r>
              <w:t xml:space="preserve">(dépôts)</w:t>
            </w:r>
          </w:p>
        </w:tc>
        <w:tc>
          <w:tcPr/>
          <w:p>
            <w:pPr>
              <w:pStyle w:val="Compact"/>
            </w:pPr>
            <w:r>
              <w:t xml:space="preserve">Fichiers uploadés par les élèves</w:t>
            </w:r>
          </w:p>
        </w:tc>
        <w:tc>
          <w:tcPr/>
          <w:p>
            <w:pPr>
              <w:pStyle w:val="Compact"/>
            </w:pPr>
            <w:r>
              <w:rPr>
                <w:b/>
                <w:bCs/>
              </w:rPr>
              <w:t xml:space="preserve">Temporaire</w:t>
            </w:r>
            <w:r>
              <w:t xml:space="preserve"> </w:t>
            </w:r>
            <w:r>
              <w:t xml:space="preserve">: supprimé 30 jours après la correction</w:t>
            </w:r>
          </w:p>
        </w:tc>
      </w:tr>
      <w:tr>
        <w:tc>
          <w:tcPr/>
          <w:p>
            <w:pPr>
              <w:pStyle w:val="Compact"/>
            </w:pPr>
            <w:r>
              <w:rPr>
                <w:b/>
                <w:bCs/>
              </w:rPr>
              <w:t xml:space="preserve">Corrections</w:t>
            </w:r>
          </w:p>
        </w:tc>
        <w:tc>
          <w:tcPr/>
          <w:p>
            <w:pPr>
              <w:pStyle w:val="Compact"/>
            </w:pPr>
            <w:r>
              <w:t xml:space="preserve">Notes par compétences, commentaires IA, feedback</w:t>
            </w:r>
          </w:p>
        </w:tc>
        <w:tc>
          <w:tcPr/>
          <w:p>
            <w:pPr>
              <w:pStyle w:val="Compact"/>
            </w:pPr>
            <w:r>
              <w:t xml:space="preserve">Standard</w:t>
            </w:r>
          </w:p>
        </w:tc>
      </w:tr>
      <w:tr>
        <w:tc>
          <w:tcPr/>
          <w:p>
            <w:pPr>
              <w:pStyle w:val="Compact"/>
            </w:pPr>
            <w:r>
              <w:rPr>
                <w:b/>
                <w:bCs/>
              </w:rPr>
              <w:t xml:space="preserve">Noms et prénoms élèves</w:t>
            </w:r>
          </w:p>
        </w:tc>
        <w:tc>
          <w:tcPr/>
          <w:p>
            <w:pPr>
              <w:pStyle w:val="Compact"/>
            </w:pPr>
            <w:r>
              <w:t xml:space="preserve">Noms saisis par l’enseignant ; prénoms utilisés par le canal élève (connexion, dépôt)</w:t>
            </w:r>
          </w:p>
        </w:tc>
        <w:tc>
          <w:tcPr/>
          <w:p>
            <w:pPr>
              <w:pStyle w:val="Compact"/>
            </w:pPr>
            <w:r>
              <w:rPr>
                <w:b/>
                <w:bCs/>
              </w:rPr>
              <w:t xml:space="preserve">Chiffrés en base</w:t>
            </w:r>
            <w:r>
              <w:t xml:space="preserve">, selon deux modèles : bout en bout côté enseignant, au repos côté canal élève (voir 4.4)</w:t>
            </w:r>
          </w:p>
        </w:tc>
      </w:tr>
      <w:tr>
        <w:tc>
          <w:tcPr/>
          <w:p>
            <w:pPr>
              <w:pStyle w:val="Compact"/>
            </w:pPr>
            <w:r>
              <w:rPr>
                <w:b/>
                <w:bCs/>
              </w:rPr>
              <w:t xml:space="preserve">Exercices</w:t>
            </w:r>
          </w:p>
        </w:tc>
        <w:tc>
          <w:tcPr/>
          <w:p>
            <w:pPr>
              <w:pStyle w:val="Compact"/>
            </w:pPr>
            <w:r>
              <w:t xml:space="preserve">Contenu, réponses élèves (pseudonyme)</w:t>
            </w:r>
          </w:p>
        </w:tc>
        <w:tc>
          <w:tcPr/>
          <w:p>
            <w:pPr>
              <w:pStyle w:val="Compact"/>
            </w:pPr>
            <w:r>
              <w:t xml:space="preserve">Standard</w:t>
            </w:r>
          </w:p>
        </w:tc>
      </w:tr>
      <w:tr>
        <w:tc>
          <w:tcPr/>
          <w:p>
            <w:pPr>
              <w:pStyle w:val="Compact"/>
            </w:pPr>
            <w:r>
              <w:rPr>
                <w:b/>
                <w:bCs/>
              </w:rPr>
              <w:t xml:space="preserve">Plans de travail</w:t>
            </w:r>
          </w:p>
        </w:tc>
        <w:tc>
          <w:tcPr/>
          <w:p>
            <w:pPr>
              <w:pStyle w:val="Compact"/>
            </w:pPr>
            <w:r>
              <w:t xml:space="preserve">Activités, progression (code + prénom)</w:t>
            </w:r>
          </w:p>
        </w:tc>
        <w:tc>
          <w:tcPr/>
          <w:p>
            <w:pPr>
              <w:pStyle w:val="Compact"/>
            </w:pPr>
            <w:r>
              <w:t xml:space="preserve">Standard</w:t>
            </w:r>
          </w:p>
        </w:tc>
      </w:tr>
      <w:tr>
        <w:tc>
          <w:tcPr/>
          <w:p>
            <w:pPr>
              <w:pStyle w:val="Compact"/>
            </w:pPr>
            <w:r>
              <w:rPr>
                <w:b/>
                <w:bCs/>
              </w:rPr>
              <w:t xml:space="preserve">TeacherStudio</w:t>
            </w:r>
          </w:p>
        </w:tc>
        <w:tc>
          <w:tcPr/>
          <w:p>
            <w:pPr>
              <w:pStyle w:val="Compact"/>
            </w:pPr>
            <w:r>
              <w:t xml:space="preserve">Sources RAG, contenus générés, chatbots</w:t>
            </w:r>
          </w:p>
        </w:tc>
        <w:tc>
          <w:tcPr/>
          <w:p>
            <w:pPr>
              <w:pStyle w:val="Compact"/>
            </w:pPr>
            <w:r>
              <w:t xml:space="preserve">Standard</w:t>
            </w:r>
          </w:p>
        </w:tc>
      </w:tr>
      <w:tr>
        <w:tc>
          <w:tcPr/>
          <w:p>
            <w:pPr>
              <w:pStyle w:val="Compact"/>
            </w:pPr>
            <w:r>
              <w:rPr>
                <w:b/>
                <w:bCs/>
              </w:rPr>
              <w:t xml:space="preserve">Journal technique du canal élève</w:t>
            </w:r>
          </w:p>
        </w:tc>
        <w:tc>
          <w:tcPr/>
          <w:p>
            <w:pPr>
              <w:pStyle w:val="Compact"/>
            </w:pPr>
            <w:r>
              <w:t xml:space="preserve">Événements d’échec sur les pages élèves (code erroné, lien expiré),</w:t>
            </w:r>
            <w:r>
              <w:t xml:space="preserve"> </w:t>
            </w:r>
            <w:r>
              <w:rPr>
                <w:b/>
                <w:bCs/>
              </w:rPr>
              <w:t xml:space="preserve">pseudonymes</w:t>
            </w:r>
            <w:r>
              <w:t xml:space="preserve"> </w:t>
            </w:r>
            <w:r>
              <w:t xml:space="preserve">(jamais de nom)</w:t>
            </w:r>
          </w:p>
        </w:tc>
        <w:tc>
          <w:tcPr/>
          <w:p>
            <w:pPr>
              <w:pStyle w:val="Compact"/>
            </w:pPr>
            <w:r>
              <w:t xml:space="preserve">Standard — permet d’aider un élève bloqué sans attendre qu’un adulte le signale</w:t>
            </w:r>
          </w:p>
        </w:tc>
      </w:tr>
      <w:tr>
        <w:tc>
          <w:tcPr/>
          <w:p>
            <w:pPr>
              <w:pStyle w:val="Compact"/>
            </w:pPr>
            <w:r>
              <w:rPr>
                <w:b/>
                <w:bCs/>
              </w:rPr>
              <w:t xml:space="preserve">Logs techniques</w:t>
            </w:r>
          </w:p>
        </w:tc>
        <w:tc>
          <w:tcPr/>
          <w:p>
            <w:pPr>
              <w:pStyle w:val="Compact"/>
            </w:pPr>
            <w:r>
              <w:t xml:space="preserve">IP, horodatage, user-agent</w:t>
            </w:r>
          </w:p>
        </w:tc>
        <w:tc>
          <w:tcPr/>
          <w:p>
            <w:pPr>
              <w:pStyle w:val="Compact"/>
            </w:pPr>
            <w:r>
              <w:t xml:space="preserve">Standard</w:t>
            </w:r>
          </w:p>
        </w:tc>
      </w:tr>
      <w:tr>
        <w:tc>
          <w:tcPr/>
          <w:p>
            <w:pPr>
              <w:pStyle w:val="Compact"/>
            </w:pPr>
            <w:r>
              <w:rPr>
                <w:b/>
                <w:bCs/>
              </w:rPr>
              <w:t xml:space="preserve">Abonnement</w:t>
            </w:r>
          </w:p>
        </w:tc>
        <w:tc>
          <w:tcPr/>
          <w:p>
            <w:pPr>
              <w:pStyle w:val="Compact"/>
            </w:pPr>
            <w:r>
              <w:t xml:space="preserve">Identifiant technique, statut, dates</w:t>
            </w:r>
          </w:p>
        </w:tc>
        <w:tc>
          <w:tcPr/>
          <w:p>
            <w:pPr>
              <w:pStyle w:val="Compact"/>
            </w:pPr>
            <w:r>
              <w:t xml:space="preserve">Standard</w:t>
            </w:r>
          </w:p>
        </w:tc>
      </w:tr>
      <w:tr>
        <w:tc>
          <w:tcPr/>
          <w:p>
            <w:pPr>
              <w:pStyle w:val="Compact"/>
            </w:pPr>
            <w:r>
              <w:rPr>
                <w:b/>
                <w:bCs/>
              </w:rPr>
              <w:t xml:space="preserve">Forfait d’établissement</w:t>
            </w:r>
            <w:r>
              <w:t xml:space="preserve"> </w:t>
            </w:r>
            <w:r>
              <w:t xml:space="preserve">(si l’établissement en souscrit un)</w:t>
            </w:r>
          </w:p>
        </w:tc>
        <w:tc>
          <w:tcPr/>
          <w:p>
            <w:pPr>
              <w:pStyle w:val="Compact"/>
            </w:pPr>
            <w:r>
              <w:t xml:space="preserve">Nom et code UAI de l’</w:t>
            </w:r>
            <w:r>
              <w:rPr>
                <w:b/>
                <w:bCs/>
              </w:rPr>
              <w:t xml:space="preserve">établissement</w:t>
            </w:r>
            <w:r>
              <w:t xml:space="preserve"> </w:t>
            </w:r>
            <w:r>
              <w:t xml:space="preserve">(données d’organisation), identifiants techniques des enseignants rattachés, compteurs de crédits</w:t>
            </w:r>
          </w:p>
        </w:tc>
        <w:tc>
          <w:tcPr/>
          <w:p>
            <w:pPr>
              <w:pStyle w:val="Compact"/>
            </w:pPr>
            <w:r>
              <w:t xml:space="preserve">Standard —</w:t>
            </w:r>
            <w:r>
              <w:t xml:space="preserve"> </w:t>
            </w:r>
            <w:r>
              <w:rPr>
                <w:b/>
                <w:bCs/>
              </w:rPr>
              <w:t xml:space="preserve">aucune donnée d’élève, aucun nom d’enseignant</w:t>
            </w:r>
            <w:r>
              <w:t xml:space="preserve">. L’éditeur est</w:t>
            </w:r>
            <w:r>
              <w:t xml:space="preserve"> </w:t>
            </w:r>
            <w:r>
              <w:rPr>
                <w:b/>
                <w:bCs/>
              </w:rPr>
              <w:t xml:space="preserve">responsable de traitement</w:t>
            </w:r>
            <w:r>
              <w:t xml:space="preserve"> </w:t>
            </w:r>
            <w:r>
              <w:t xml:space="preserve">pour ces données, qui relèvent du contrat qui le lie à l’établissement (voir §2.1)</w:t>
            </w:r>
          </w:p>
        </w:tc>
      </w:tr>
    </w:tbl>
    <w:bookmarkEnd w:id="14"/>
    <w:bookmarkStart w:id="15" w:name="durées-de-conservation"/>
    <w:p>
      <w:pPr>
        <w:pStyle w:val="Heading3"/>
      </w:pPr>
      <w:r>
        <w:t xml:space="preserve">1.5 Durées de conservation</w:t>
      </w:r>
    </w:p>
    <w:tbl>
      <w:tblPr>
        <w:tblStyle w:val="Table"/>
        <w:tblW w:type="pct" w:w="5000"/>
        <w:tblLayout w:type="fixed"/>
        <w:tblLook w:firstRow="1" w:lastRow="0" w:firstColumn="0" w:lastColumn="0" w:noHBand="0" w:noVBand="0" w:val="0020"/>
      </w:tblPr>
      <w:tblGrid>
        <w:gridCol w:w="5610"/>
        <w:gridCol w:w="2310"/>
      </w:tblGrid>
      <w:tr>
        <w:trPr>
          <w:tblHeader w:val="on"/>
        </w:trPr>
        <w:tc>
          <w:tcPr/>
          <w:p>
            <w:pPr>
              <w:pStyle w:val="Compact"/>
            </w:pPr>
            <w:r>
              <w:t xml:space="preserve">Type de données</w:t>
            </w:r>
          </w:p>
        </w:tc>
        <w:tc>
          <w:tcPr/>
          <w:p>
            <w:pPr>
              <w:pStyle w:val="Compact"/>
            </w:pPr>
            <w:r>
              <w:t xml:space="preserve">Durée</w:t>
            </w:r>
          </w:p>
        </w:tc>
      </w:tr>
      <w:tr>
        <w:tc>
          <w:tcPr/>
          <w:p>
            <w:pPr>
              <w:pStyle w:val="Compact"/>
            </w:pPr>
            <w:r>
              <w:t xml:space="preserve">Comptes enseignants actifs</w:t>
            </w:r>
          </w:p>
        </w:tc>
        <w:tc>
          <w:tcPr/>
          <w:p>
            <w:pPr>
              <w:pStyle w:val="Compact"/>
            </w:pPr>
            <w:r>
              <w:t xml:space="preserve">Durée de l’abonnement</w:t>
            </w:r>
          </w:p>
        </w:tc>
      </w:tr>
      <w:tr>
        <w:tc>
          <w:tcPr/>
          <w:p>
            <w:pPr>
              <w:pStyle w:val="Compact"/>
            </w:pPr>
            <w:r>
              <w:t xml:space="preserve">Comptes après fin de contrat</w:t>
            </w:r>
          </w:p>
        </w:tc>
        <w:tc>
          <w:tcPr/>
          <w:p>
            <w:pPr>
              <w:pStyle w:val="Compact"/>
            </w:pPr>
            <w:r>
              <w:t xml:space="preserve">2 ans d’inactivité puis suppression</w:t>
            </w:r>
          </w:p>
        </w:tc>
      </w:tr>
      <w:tr>
        <w:tc>
          <w:tcPr/>
          <w:p>
            <w:pPr>
              <w:pStyle w:val="Compact"/>
            </w:pPr>
            <w:r>
              <w:t xml:space="preserve">Corrections et barèmes</w:t>
            </w:r>
          </w:p>
        </w:tc>
        <w:tc>
          <w:tcPr/>
          <w:p>
            <w:pPr>
              <w:pStyle w:val="Compact"/>
            </w:pPr>
            <w:r>
              <w:t xml:space="preserve">Jusqu’à suppression par l’enseignant ou 2 ans d’inactivité</w:t>
            </w:r>
          </w:p>
        </w:tc>
      </w:tr>
      <w:tr>
        <w:tc>
          <w:tcPr/>
          <w:p>
            <w:pPr>
              <w:pStyle w:val="Compact"/>
            </w:pPr>
            <w:r>
              <w:t xml:space="preserve">Copies d’élèves (correction)</w:t>
            </w:r>
          </w:p>
        </w:tc>
        <w:tc>
          <w:tcPr/>
          <w:p>
            <w:pPr>
              <w:pStyle w:val="Compact"/>
            </w:pPr>
            <w:r>
              <w:rPr>
                <w:b/>
                <w:bCs/>
              </w:rPr>
              <w:t xml:space="preserve">30 jours après la correction</w:t>
            </w:r>
            <w:r>
              <w:t xml:space="preserve"> </w:t>
            </w:r>
            <w:r>
              <w:t xml:space="preserve">(et au plus tard le 31 août), UE, puis suppression automatique</w:t>
            </w:r>
          </w:p>
        </w:tc>
      </w:tr>
      <w:tr>
        <w:tc>
          <w:tcPr/>
          <w:p>
            <w:pPr>
              <w:pStyle w:val="Compact"/>
            </w:pPr>
            <w:r>
              <w:t xml:space="preserve">Copies d’élèves (dépôts)</w:t>
            </w:r>
          </w:p>
        </w:tc>
        <w:tc>
          <w:tcPr/>
          <w:p>
            <w:pPr>
              <w:pStyle w:val="Compact"/>
            </w:pPr>
            <w:r>
              <w:rPr>
                <w:b/>
                <w:bCs/>
              </w:rPr>
              <w:t xml:space="preserve">30 jours après la correction</w:t>
            </w:r>
          </w:p>
        </w:tc>
      </w:tr>
      <w:tr>
        <w:tc>
          <w:tcPr/>
          <w:p>
            <w:pPr>
              <w:pStyle w:val="Compact"/>
            </w:pPr>
            <w:r>
              <w:t xml:space="preserve">Exercices et réponses</w:t>
            </w:r>
          </w:p>
        </w:tc>
        <w:tc>
          <w:tcPr/>
          <w:p>
            <w:pPr>
              <w:pStyle w:val="Compact"/>
            </w:pPr>
            <w:r>
              <w:t xml:space="preserve">Jusqu’à suppression par l’enseignant</w:t>
            </w:r>
          </w:p>
        </w:tc>
      </w:tr>
      <w:tr>
        <w:tc>
          <w:tcPr/>
          <w:p>
            <w:pPr>
              <w:pStyle w:val="Compact"/>
            </w:pPr>
            <w:r>
              <w:t xml:space="preserve">Plans de travail</w:t>
            </w:r>
          </w:p>
        </w:tc>
        <w:tc>
          <w:tcPr/>
          <w:p>
            <w:pPr>
              <w:pStyle w:val="Compact"/>
            </w:pPr>
            <w:r>
              <w:t xml:space="preserve">Année scolaire + 1 an</w:t>
            </w:r>
          </w:p>
        </w:tc>
      </w:tr>
      <w:tr>
        <w:tc>
          <w:tcPr/>
          <w:p>
            <w:pPr>
              <w:pStyle w:val="Compact"/>
            </w:pPr>
            <w:r>
              <w:t xml:space="preserve">TeacherStudio</w:t>
            </w:r>
          </w:p>
        </w:tc>
        <w:tc>
          <w:tcPr/>
          <w:p>
            <w:pPr>
              <w:pStyle w:val="Compact"/>
            </w:pPr>
            <w:r>
              <w:t xml:space="preserve">Jusqu’à suppression ou 3 ans maximum</w:t>
            </w:r>
          </w:p>
        </w:tc>
      </w:tr>
      <w:tr>
        <w:tc>
          <w:tcPr/>
          <w:p>
            <w:pPr>
              <w:pStyle w:val="Compact"/>
            </w:pPr>
            <w:r>
              <w:t xml:space="preserve">Journal technique du canal élève (pseudonyme)</w:t>
            </w:r>
          </w:p>
        </w:tc>
        <w:tc>
          <w:tcPr/>
          <w:p>
            <w:pPr>
              <w:pStyle w:val="Compact"/>
            </w:pPr>
            <w:r>
              <w:t xml:space="preserve">90 jours (suppression automatique)</w:t>
            </w:r>
          </w:p>
        </w:tc>
      </w:tr>
      <w:tr>
        <w:tc>
          <w:tcPr/>
          <w:p>
            <w:pPr>
              <w:pStyle w:val="Compact"/>
            </w:pPr>
            <w:r>
              <w:t xml:space="preserve">Forfait d’établissement (le cas échéant)</w:t>
            </w:r>
          </w:p>
        </w:tc>
        <w:tc>
          <w:tcPr/>
          <w:p>
            <w:pPr>
              <w:pStyle w:val="Compact"/>
            </w:pPr>
            <w:r>
              <w:t xml:space="preserve">Durée du forfait ; les crédits non consommés retournent au pot à la clôture. ⚠️</w:t>
            </w:r>
            <w:r>
              <w:t xml:space="preserve"> </w:t>
            </w:r>
            <w:r>
              <w:rPr>
                <w:b/>
                <w:bCs/>
              </w:rPr>
              <w:t xml:space="preserve">La fin d’un forfait ne supprime ni n’archive aucun contenu pédagogique</w:t>
            </w:r>
            <w:r>
              <w:t xml:space="preserve"> </w:t>
            </w:r>
            <w:r>
              <w:t xml:space="preserve">: progressions, barèmes et documents appartiennent à l’enseignant</w:t>
            </w:r>
          </w:p>
        </w:tc>
      </w:tr>
      <w:tr>
        <w:tc>
          <w:tcPr/>
          <w:p>
            <w:pPr>
              <w:pStyle w:val="Compact"/>
            </w:pPr>
            <w:r>
              <w:t xml:space="preserve">Logs IA</w:t>
            </w:r>
          </w:p>
        </w:tc>
        <w:tc>
          <w:tcPr/>
          <w:p>
            <w:pPr>
              <w:pStyle w:val="Compact"/>
            </w:pPr>
            <w:r>
              <w:t xml:space="preserve">12 mois</w:t>
            </w:r>
          </w:p>
        </w:tc>
      </w:tr>
      <w:tr>
        <w:tc>
          <w:tcPr/>
          <w:p>
            <w:pPr>
              <w:pStyle w:val="Compact"/>
            </w:pPr>
            <w:r>
              <w:t xml:space="preserve">Logs d’audit</w:t>
            </w:r>
          </w:p>
        </w:tc>
        <w:tc>
          <w:tcPr/>
          <w:p>
            <w:pPr>
              <w:pStyle w:val="Compact"/>
            </w:pPr>
            <w:r>
              <w:t xml:space="preserve">24 mois</w:t>
            </w:r>
          </w:p>
        </w:tc>
      </w:tr>
    </w:tbl>
    <w:p>
      <w:r>
        <w:pict>
          <v:rect style="width:0;height:1.5pt" o:hralign="center" o:hrstd="t" o:hr="t"/>
        </w:pict>
      </w:r>
    </w:p>
    <w:bookmarkEnd w:id="15"/>
    <w:bookmarkEnd w:id="16"/>
    <w:bookmarkStart w:id="20" w:name="sous-traitant-et-flux-de-données"/>
    <w:p>
      <w:pPr>
        <w:pStyle w:val="Heading2"/>
      </w:pPr>
      <w:r>
        <w:t xml:space="preserve">2. Sous-traitant et flux de données</w:t>
      </w:r>
    </w:p>
    <w:bookmarkStart w:id="17" w:name="sous-traitant-principal"/>
    <w:p>
      <w:pPr>
        <w:pStyle w:val="Heading3"/>
      </w:pPr>
      <w:r>
        <w:t xml:space="preserve">2.1 Sous-traitant principal</w:t>
      </w:r>
    </w:p>
    <w:p>
      <w:pPr>
        <w:pStyle w:val="FirstParagraph"/>
      </w:pPr>
      <w:r>
        <w:rPr>
          <w:b/>
          <w:bCs/>
        </w:rPr>
        <w:t xml:space="preserve">Éditeur :</w:t>
      </w:r>
      <w:r>
        <w:t xml:space="preserve"> </w:t>
      </w:r>
      <w:r>
        <w:t xml:space="preserve">Thomas Cavil</w:t>
      </w:r>
    </w:p>
    <w:p>
      <w:pPr>
        <w:pStyle w:val="BodyText"/>
      </w:pPr>
      <w:r>
        <w:rPr>
          <w:b/>
          <w:bCs/>
        </w:rPr>
        <w:t xml:space="preserve">Contact :</w:t>
      </w:r>
      <w:r>
        <w:t xml:space="preserve"> </w:t>
      </w:r>
      <w:r>
        <w:t xml:space="preserve">contact.EvalIA@oriantation.fr</w:t>
      </w:r>
    </w:p>
    <w:p>
      <w:pPr>
        <w:pStyle w:val="BodyText"/>
      </w:pPr>
      <w:r>
        <w:rPr>
          <w:b/>
          <w:bCs/>
        </w:rPr>
        <w:t xml:space="preserve">Accord de sous-traitance :</w:t>
      </w:r>
      <w:r>
        <w:t xml:space="preserve"> </w:t>
      </w:r>
      <w:r>
        <w:t xml:space="preserve">Signé conformément à l’article 28 du RGPD</w:t>
      </w:r>
    </w:p>
    <w:bookmarkEnd w:id="17"/>
    <w:bookmarkStart w:id="18" w:name="sous-traitants-ultérieurs"/>
    <w:p>
      <w:pPr>
        <w:pStyle w:val="Heading3"/>
      </w:pPr>
      <w:r>
        <w:t xml:space="preserve">2.2 Sous-traitants ultérieurs</w:t>
      </w:r>
    </w:p>
    <w:tbl>
      <w:tblPr>
        <w:tblStyle w:val="Table"/>
        <w:tblW w:type="pct" w:w="5000"/>
        <w:tblLayout w:type="fixed"/>
        <w:tblLook w:firstRow="1" w:lastRow="0" w:firstColumn="0" w:lastColumn="0" w:noHBand="0" w:noVBand="0" w:val="0020"/>
      </w:tblPr>
      <w:tblGrid>
        <w:gridCol w:w="2145"/>
        <w:gridCol w:w="1650"/>
        <w:gridCol w:w="2310"/>
        <w:gridCol w:w="1815"/>
      </w:tblGrid>
      <w:tr>
        <w:trPr>
          <w:tblHeader w:val="on"/>
        </w:trPr>
        <w:tc>
          <w:tcPr/>
          <w:p>
            <w:pPr>
              <w:pStyle w:val="Compact"/>
            </w:pPr>
            <w:r>
              <w:t xml:space="preserve">Prestataire</w:t>
            </w:r>
          </w:p>
        </w:tc>
        <w:tc>
          <w:tcPr/>
          <w:p>
            <w:pPr>
              <w:pStyle w:val="Compact"/>
            </w:pPr>
            <w:r>
              <w:t xml:space="preserve">Fonction</w:t>
            </w:r>
          </w:p>
        </w:tc>
        <w:tc>
          <w:tcPr/>
          <w:p>
            <w:pPr>
              <w:pStyle w:val="Compact"/>
            </w:pPr>
            <w:r>
              <w:t xml:space="preserve">Localisation</w:t>
            </w:r>
          </w:p>
        </w:tc>
        <w:tc>
          <w:tcPr/>
          <w:p>
            <w:pPr>
              <w:pStyle w:val="Compact"/>
            </w:pPr>
            <w:r>
              <w:t xml:space="preserve">Garanties</w:t>
            </w:r>
          </w:p>
        </w:tc>
      </w:tr>
      <w:tr>
        <w:tc>
          <w:tcPr/>
          <w:p>
            <w:pPr>
              <w:pStyle w:val="Compact"/>
            </w:pPr>
            <w:r>
              <w:t xml:space="preserve">Google Firebase</w:t>
            </w:r>
          </w:p>
        </w:tc>
        <w:tc>
          <w:tcPr/>
          <w:p>
            <w:pPr>
              <w:pStyle w:val="Compact"/>
            </w:pPr>
            <w:r>
              <w:t xml:space="preserve">Base de données, authentification, stockage</w:t>
            </w:r>
          </w:p>
        </w:tc>
        <w:tc>
          <w:tcPr/>
          <w:p>
            <w:pPr>
              <w:pStyle w:val="Compact"/>
            </w:pPr>
            <w:r>
              <w:t xml:space="preserve">europe-west1 (Belgique)</w:t>
            </w:r>
          </w:p>
        </w:tc>
        <w:tc>
          <w:tcPr/>
          <w:p>
            <w:pPr>
              <w:pStyle w:val="Compact"/>
            </w:pPr>
            <w:r>
              <w:t xml:space="preserve">DPA Google Cloud</w:t>
            </w:r>
          </w:p>
        </w:tc>
      </w:tr>
      <w:tr>
        <w:tc>
          <w:tcPr/>
          <w:p>
            <w:pPr>
              <w:pStyle w:val="Compact"/>
            </w:pPr>
            <w:r>
              <w:t xml:space="preserve">Google Vertex AI (Gemini 2.5 Flash)</w:t>
            </w:r>
          </w:p>
        </w:tc>
        <w:tc>
          <w:tcPr/>
          <w:p>
            <w:pPr>
              <w:pStyle w:val="Compact"/>
            </w:pPr>
            <w:r>
              <w:t xml:space="preserve">IA générative (barèmes, exercices, studio, remédiation, agent)</w:t>
            </w:r>
          </w:p>
        </w:tc>
        <w:tc>
          <w:tcPr/>
          <w:p>
            <w:pPr>
              <w:pStyle w:val="Compact"/>
            </w:pPr>
            <w:r>
              <w:t xml:space="preserve">europe-west1 (Belgique, UE)</w:t>
            </w:r>
          </w:p>
        </w:tc>
        <w:tc>
          <w:tcPr/>
          <w:p>
            <w:pPr>
              <w:pStyle w:val="Compact"/>
            </w:pPr>
            <w:r>
              <w:t xml:space="preserve">Pas d’entraînement sur données utilisateurs</w:t>
            </w:r>
          </w:p>
        </w:tc>
      </w:tr>
      <w:tr>
        <w:tc>
          <w:tcPr/>
          <w:p>
            <w:pPr>
              <w:pStyle w:val="Compact"/>
            </w:pPr>
            <w:r>
              <w:t xml:space="preserve">Google Vertex AI (Gemini 3.7 Flash)</w:t>
            </w:r>
          </w:p>
        </w:tc>
        <w:tc>
          <w:tcPr/>
          <w:p>
            <w:pPr>
              <w:pStyle w:val="Compact"/>
            </w:pPr>
            <w:r>
              <w:t xml:space="preserve">IA générative (correction de copies, barèmes, exercices, appréciations)</w:t>
            </w:r>
          </w:p>
        </w:tc>
        <w:tc>
          <w:tcPr/>
          <w:p>
            <w:pPr>
              <w:pStyle w:val="Compact"/>
            </w:pPr>
            <w:r>
              <w:t xml:space="preserve">multi-région</w:t>
            </w:r>
            <w:r>
              <w:t xml:space="preserve"> </w:t>
            </w:r>
            <w:r>
              <w:rPr>
                <w:rStyle w:val="VerbatimChar"/>
              </w:rPr>
              <w:t xml:space="preserve">eu</w:t>
            </w:r>
            <w:r>
              <w:t xml:space="preserve"> </w:t>
            </w:r>
            <w:r>
              <w:t xml:space="preserve">(Belgique/Pays-Bas, UE)</w:t>
            </w:r>
          </w:p>
        </w:tc>
        <w:tc>
          <w:tcPr/>
          <w:p>
            <w:pPr>
              <w:pStyle w:val="Compact"/>
            </w:pPr>
            <w:r>
              <w:t xml:space="preserve">Pas d’entraînement, en-tête des copies masqué, DPA Google Cloud</w:t>
            </w:r>
          </w:p>
        </w:tc>
      </w:tr>
      <w:tr>
        <w:tc>
          <w:tcPr/>
          <w:p>
            <w:pPr>
              <w:pStyle w:val="Compact"/>
            </w:pPr>
            <w:r>
              <w:t xml:space="preserve">Google Vertex AI (Gemini 3.1 Flash Image)</w:t>
            </w:r>
          </w:p>
        </w:tc>
        <w:tc>
          <w:tcPr/>
          <w:p>
            <w:pPr>
              <w:pStyle w:val="Compact"/>
            </w:pPr>
            <w:r>
              <w:t xml:space="preserve">Génération d’illustrations pédagogiques (schémas, diagrammes)</w:t>
            </w:r>
          </w:p>
        </w:tc>
        <w:tc>
          <w:tcPr/>
          <w:p>
            <w:pPr>
              <w:pStyle w:val="Compact"/>
            </w:pPr>
            <w:r>
              <w:t xml:space="preserve">Point d’accès</w:t>
            </w:r>
            <w:r>
              <w:t xml:space="preserve"> </w:t>
            </w:r>
            <w:r>
              <w:rPr>
                <w:rStyle w:val="VerbatimChar"/>
              </w:rPr>
              <w:t xml:space="preserve">global</w:t>
            </w:r>
            <w:r>
              <w:t xml:space="preserve"> </w:t>
            </w:r>
            <w:r>
              <w:t xml:space="preserve">(hors UE)</w:t>
            </w:r>
          </w:p>
        </w:tc>
        <w:tc>
          <w:tcPr/>
          <w:p>
            <w:pPr>
              <w:pStyle w:val="Compact"/>
            </w:pPr>
            <w:r>
              <w:t xml:space="preserve">DPA Google Cloud, pas d’entraînement ;</w:t>
            </w:r>
            <w:r>
              <w:t xml:space="preserve"> </w:t>
            </w:r>
            <w:r>
              <w:rPr>
                <w:b/>
                <w:bCs/>
              </w:rPr>
              <w:t xml:space="preserve">aucune donnée personnelle dans les requêtes</w:t>
            </w:r>
            <w:r>
              <w:t xml:space="preserve"> </w:t>
            </w:r>
            <w:r>
              <w:t xml:space="preserve">(descriptions de schémas uniquement)</w:t>
            </w:r>
          </w:p>
        </w:tc>
      </w:tr>
      <w:tr>
        <w:tc>
          <w:tcPr/>
          <w:p>
            <w:pPr>
              <w:pStyle w:val="Compact"/>
            </w:pPr>
            <w:r>
              <w:t xml:space="preserve">Vercel</w:t>
            </w:r>
          </w:p>
        </w:tc>
        <w:tc>
          <w:tcPr/>
          <w:p>
            <w:pPr>
              <w:pStyle w:val="Compact"/>
            </w:pPr>
            <w:r>
              <w:t xml:space="preserve">Hébergement frontend et API</w:t>
            </w:r>
          </w:p>
        </w:tc>
        <w:tc>
          <w:tcPr/>
          <w:p>
            <w:pPr>
              <w:pStyle w:val="Compact"/>
            </w:pPr>
            <w:r>
              <w:t xml:space="preserve">Edge européen</w:t>
            </w:r>
          </w:p>
        </w:tc>
        <w:tc>
          <w:tcPr/>
          <w:p>
            <w:pPr>
              <w:pStyle w:val="Compact"/>
            </w:pPr>
            <w:r>
              <w:t xml:space="preserve">DPA Vercel</w:t>
            </w:r>
          </w:p>
        </w:tc>
      </w:tr>
      <w:tr>
        <w:tc>
          <w:tcPr/>
          <w:p>
            <w:pPr>
              <w:pStyle w:val="Compact"/>
            </w:pPr>
            <w:r>
              <w:t xml:space="preserve">Sentry</w:t>
            </w:r>
          </w:p>
        </w:tc>
        <w:tc>
          <w:tcPr/>
          <w:p>
            <w:pPr>
              <w:pStyle w:val="Compact"/>
            </w:pPr>
            <w:r>
              <w:t xml:space="preserve">Monitoring d’erreurs, incluant l’enregistrement de sessions de l’interface enseignant (10 % des sessions, 100 % en cas d’erreur)</w:t>
            </w:r>
          </w:p>
        </w:tc>
        <w:tc>
          <w:tcPr/>
          <w:p>
            <w:pPr>
              <w:pStyle w:val="Compact"/>
            </w:pPr>
            <w:r>
              <w:t xml:space="preserve">UE (Francfort, Allemagne)</w:t>
            </w:r>
          </w:p>
        </w:tc>
        <w:tc>
          <w:tcPr/>
          <w:p>
            <w:pPr>
              <w:pStyle w:val="Compact"/>
            </w:pPr>
            <w:r>
              <w:t xml:space="preserve">SOC 2 Type II, filtrage des données personnelles, texte masqué et médias bloqués, conservation 30 jours</w:t>
            </w:r>
          </w:p>
        </w:tc>
      </w:tr>
      <w:tr>
        <w:tc>
          <w:tcPr/>
          <w:p>
            <w:pPr>
              <w:pStyle w:val="Compact"/>
            </w:pPr>
            <w:r>
              <w:t xml:space="preserve">Brevo (Sendinblue)</w:t>
            </w:r>
          </w:p>
        </w:tc>
        <w:tc>
          <w:tcPr/>
          <w:p>
            <w:pPr>
              <w:pStyle w:val="Compact"/>
            </w:pPr>
            <w:r>
              <w:t xml:space="preserve">Emails de service et campagnes d’information aux enseignants (email, prénom, académie)</w:t>
            </w:r>
          </w:p>
        </w:tc>
        <w:tc>
          <w:tcPr/>
          <w:p>
            <w:pPr>
              <w:pStyle w:val="Compact"/>
            </w:pPr>
            <w:r>
              <w:t xml:space="preserve">France (UE)</w:t>
            </w:r>
          </w:p>
        </w:tc>
        <w:tc>
          <w:tcPr/>
          <w:p>
            <w:pPr>
              <w:pStyle w:val="Compact"/>
            </w:pPr>
            <w:r>
              <w:t xml:space="preserve">DPA Brevo, aucune donnée d’élève transmise</w:t>
            </w:r>
          </w:p>
        </w:tc>
      </w:tr>
      <w:tr>
        <w:tc>
          <w:tcPr/>
          <w:p>
            <w:pPr>
              <w:pStyle w:val="Compact"/>
            </w:pPr>
            <w:r>
              <w:t xml:space="preserve">Resend, Inc.</w:t>
            </w:r>
          </w:p>
        </w:tc>
        <w:tc>
          <w:tcPr/>
          <w:p>
            <w:pPr>
              <w:pStyle w:val="Compact"/>
            </w:pPr>
            <w:r>
              <w:t xml:space="preserve">Emails transactionnels liés au compte enseignant (lot de corrections prêt, événements d’abonnement)</w:t>
            </w:r>
          </w:p>
        </w:tc>
        <w:tc>
          <w:tcPr/>
          <w:p>
            <w:pPr>
              <w:pStyle w:val="Compact"/>
            </w:pPr>
            <w:r>
              <w:t xml:space="preserve">UE</w:t>
            </w:r>
          </w:p>
        </w:tc>
        <w:tc>
          <w:tcPr/>
          <w:p>
            <w:pPr>
              <w:pStyle w:val="Compact"/>
            </w:pPr>
            <w:r>
              <w:t xml:space="preserve">DPA Resend, aucune donnée d’élève transmise</w:t>
            </w:r>
          </w:p>
        </w:tc>
      </w:tr>
      <w:tr>
        <w:tc>
          <w:tcPr/>
          <w:p>
            <w:pPr>
              <w:pStyle w:val="Compact"/>
            </w:pPr>
            <w:r>
              <w:t xml:space="preserve">Stripe (Stripe Payments Europe, Ltd)</w:t>
            </w:r>
          </w:p>
        </w:tc>
        <w:tc>
          <w:tcPr/>
          <w:p>
            <w:pPr>
              <w:pStyle w:val="Compact"/>
            </w:pPr>
            <w:r>
              <w:t xml:space="preserve">Paiement, abonnements des enseignants résidant en France</w:t>
            </w:r>
          </w:p>
        </w:tc>
        <w:tc>
          <w:tcPr/>
          <w:p>
            <w:pPr>
              <w:pStyle w:val="Compact"/>
            </w:pPr>
            <w:r>
              <w:t xml:space="preserve">UE (Irlande)</w:t>
            </w:r>
          </w:p>
        </w:tc>
        <w:tc>
          <w:tcPr/>
          <w:p>
            <w:pPr>
              <w:pStyle w:val="Compact"/>
            </w:pPr>
            <w:r>
              <w:t xml:space="preserve">PCI-DSS, DPA Stripe, SCCs + EU-US DPF</w:t>
            </w:r>
          </w:p>
        </w:tc>
      </w:tr>
      <w:tr>
        <w:tc>
          <w:tcPr/>
          <w:p>
            <w:pPr>
              <w:pStyle w:val="Compact"/>
            </w:pPr>
            <w:r>
              <w:t xml:space="preserve">LemonSqueezy</w:t>
            </w:r>
          </w:p>
        </w:tc>
        <w:tc>
          <w:tcPr/>
          <w:p>
            <w:pPr>
              <w:pStyle w:val="Compact"/>
            </w:pPr>
            <w:r>
              <w:t xml:space="preserve">Paiement, abonnements hors France (email + identifiant uniquement)</w:t>
            </w:r>
          </w:p>
        </w:tc>
        <w:tc>
          <w:tcPr/>
          <w:p>
            <w:pPr>
              <w:pStyle w:val="Compact"/>
            </w:pPr>
            <w:r>
              <w:t xml:space="preserve">USA (Merchant of Record)</w:t>
            </w:r>
          </w:p>
        </w:tc>
        <w:tc>
          <w:tcPr/>
          <w:p>
            <w:pPr>
              <w:pStyle w:val="Compact"/>
            </w:pPr>
            <w:r>
              <w:t xml:space="preserve">PCI-DSS, SCCs Art. 46.2.c</w:t>
            </w:r>
          </w:p>
        </w:tc>
      </w:tr>
      <w:tr>
        <w:tc>
          <w:tcPr/>
          <w:p>
            <w:pPr>
              <w:pStyle w:val="Compact"/>
            </w:pPr>
            <w:r>
              <w:t xml:space="preserve">Anthropic</w:t>
            </w:r>
          </w:p>
        </w:tc>
        <w:tc>
          <w:tcPr/>
          <w:p>
            <w:pPr>
              <w:pStyle w:val="Compact"/>
            </w:pPr>
            <w:r>
              <w:t xml:space="preserve">Outil d’IA utilisé par l’éditeur pour le développement du service (données de débogage ponctuelles)</w:t>
            </w:r>
          </w:p>
        </w:tc>
        <w:tc>
          <w:tcPr/>
          <w:p>
            <w:pPr>
              <w:pStyle w:val="Compact"/>
            </w:pPr>
            <w:r>
              <w:t xml:space="preserve">USA</w:t>
            </w:r>
          </w:p>
        </w:tc>
        <w:tc>
          <w:tcPr/>
          <w:p>
            <w:pPr>
              <w:pStyle w:val="Compact"/>
            </w:pPr>
            <w:r>
              <w:t xml:space="preserve">DPA Anthropic, SCCs Art. 46.2.c</w:t>
            </w:r>
          </w:p>
        </w:tc>
      </w:tr>
    </w:tbl>
    <w:p>
      <w:pPr>
        <w:pStyle w:val="BlockText"/>
      </w:pPr>
      <w:r>
        <w:rPr>
          <w:b/>
          <w:bCs/>
        </w:rPr>
        <w:t xml:space="preserve">Note</w:t>
      </w:r>
      <w:r>
        <w:t xml:space="preserve"> </w:t>
      </w:r>
      <w:r>
        <w:t xml:space="preserve">: les prestataires de paiement et d’envoi d’emails ne traitent que les données de compte et d’abonnement de l’enseignant (jamais de donnée pédagogique ni de donnée d’élève).</w:t>
      </w:r>
    </w:p>
    <w:bookmarkEnd w:id="18"/>
    <w:bookmarkStart w:id="19" w:name="flux-de-données"/>
    <w:p>
      <w:pPr>
        <w:pStyle w:val="Heading3"/>
      </w:pPr>
      <w:r>
        <w:t xml:space="preserve">2.3 Flux de données</w:t>
      </w:r>
    </w:p>
    <w:p>
      <w:pPr>
        <w:pStyle w:val="SourceCode"/>
      </w:pPr>
      <w:r>
        <w:rPr>
          <w:rStyle w:val="VerbatimChar"/>
        </w:rPr>
        <w:t xml:space="preserve">Enseignant / Élève</w:t>
      </w:r>
      <w:r>
        <w:br/>
      </w:r>
      <w:r>
        <w:rPr>
          <w:rStyle w:val="VerbatimChar"/>
        </w:rPr>
        <w:t xml:space="preserve">      ↓</w:t>
      </w:r>
      <w:r>
        <w:br/>
      </w:r>
      <w:r>
        <w:rPr>
          <w:rStyle w:val="VerbatimChar"/>
        </w:rPr>
        <w:t xml:space="preserve">  Navigateur (HTTPS/TLS 1.3)</w:t>
      </w:r>
      <w:r>
        <w:br/>
      </w:r>
      <w:r>
        <w:rPr>
          <w:rStyle w:val="VerbatimChar"/>
        </w:rPr>
        <w:t xml:space="preserve">      ↓</w:t>
      </w:r>
      <w:r>
        <w:br/>
      </w:r>
      <w:r>
        <w:rPr>
          <w:rStyle w:val="VerbatimChar"/>
        </w:rPr>
        <w:t xml:space="preserve">  Vercel (Edge européen) — Frontend + API</w:t>
      </w:r>
      <w:r>
        <w:br/>
      </w:r>
      <w:r>
        <w:rPr>
          <w:rStyle w:val="VerbatimChar"/>
        </w:rPr>
        <w:t xml:space="preserve">      ↓</w:t>
      </w:r>
      <w:r>
        <w:br/>
      </w:r>
      <w:r>
        <w:rPr>
          <w:rStyle w:val="VerbatimChar"/>
        </w:rPr>
        <w:t xml:space="preserve">  Firebase Auth (europe-west1, Belgique)</w:t>
      </w:r>
      <w:r>
        <w:br/>
      </w:r>
      <w:r>
        <w:rPr>
          <w:rStyle w:val="VerbatimChar"/>
        </w:rPr>
        <w:t xml:space="preserve">      ↓</w:t>
      </w:r>
      <w:r>
        <w:br/>
      </w:r>
      <w:r>
        <w:rPr>
          <w:rStyle w:val="VerbatimChar"/>
        </w:rPr>
        <w:t xml:space="preserve">  API Routes (server-side)</w:t>
      </w:r>
      <w:r>
        <w:br/>
      </w:r>
      <w:r>
        <w:rPr>
          <w:rStyle w:val="VerbatimChar"/>
        </w:rPr>
        <w:t xml:space="preserve">      ↓</w:t>
      </w:r>
      <w:r>
        <w:br/>
      </w:r>
      <w:r>
        <w:rPr>
          <w:rStyle w:val="VerbatimChar"/>
        </w:rPr>
        <w:t xml:space="preserve">  Firestore (europe-west1, Belgique) ←→ Vertex AI</w:t>
      </w:r>
      <w:r>
        <w:br/>
      </w:r>
      <w:r>
        <w:rPr>
          <w:rStyle w:val="VerbatimChar"/>
        </w:rPr>
        <w:t xml:space="preserve">      │                                     ├─ Gemini 2.5 Flash (europe-west1, Belgique) — défaut</w:t>
      </w:r>
      <w:r>
        <w:br/>
      </w:r>
      <w:r>
        <w:rPr>
          <w:rStyle w:val="VerbatimChar"/>
        </w:rPr>
        <w:t xml:space="preserve">      │                                     └─ Gemini 3.7 Flash (multi-région eu, UE) — correction de copies</w:t>
      </w:r>
      <w:r>
        <w:br/>
      </w:r>
      <w:r>
        <w:rPr>
          <w:rStyle w:val="VerbatimChar"/>
        </w:rPr>
        <w:t xml:space="preserve">      ↓</w:t>
      </w:r>
      <w:r>
        <w:br/>
      </w:r>
      <w:r>
        <w:rPr>
          <w:rStyle w:val="VerbatimChar"/>
        </w:rPr>
        <w:t xml:space="preserve">  Firebase Storage (europe-west1, Belgique) — Dépôts copies et sources RAG</w:t>
      </w:r>
    </w:p>
    <w:p>
      <w:pPr>
        <w:pStyle w:val="FirstParagraph"/>
      </w:pPr>
      <w:r>
        <w:rPr>
          <w:b/>
          <w:bCs/>
        </w:rPr>
        <w:t xml:space="preserve">Garantie :</w:t>
      </w:r>
      <w:r>
        <w:t xml:space="preserve"> </w:t>
      </w:r>
      <w:r>
        <w:t xml:space="preserve">L’ensemble des données personnelles et pédagogiques,</w:t>
      </w:r>
      <w:r>
        <w:t xml:space="preserve"> </w:t>
      </w:r>
      <w:r>
        <w:rPr>
          <w:b/>
          <w:bCs/>
        </w:rPr>
        <w:t xml:space="preserve">y compris la correction de copies</w:t>
      </w:r>
      <w:r>
        <w:t xml:space="preserve">, sont traitées et stockées au sein de l’</w:t>
      </w:r>
      <w:r>
        <w:rPr>
          <w:b/>
          <w:bCs/>
        </w:rPr>
        <w:t xml:space="preserve">Union Européenne</w:t>
      </w:r>
      <w:r>
        <w:t xml:space="preserve"> </w:t>
      </w:r>
      <w:r>
        <w:t xml:space="preserve">(Gemini 2.5 Flash en</w:t>
      </w:r>
      <w:r>
        <w:t xml:space="preserve"> </w:t>
      </w:r>
      <w:r>
        <w:rPr>
          <w:rStyle w:val="VerbatimChar"/>
        </w:rPr>
        <w:t xml:space="preserve">europe-west1</w:t>
      </w:r>
      <w:r>
        <w:t xml:space="preserve">, Gemini 3.7 Flash sur la multi-région</w:t>
      </w:r>
      <w:r>
        <w:t xml:space="preserve"> </w:t>
      </w:r>
      <w:r>
        <w:rPr>
          <w:rStyle w:val="VerbatimChar"/>
        </w:rPr>
        <w:t xml:space="preserve">eu</w:t>
      </w:r>
      <w:r>
        <w:t xml:space="preserve">). L’en-tête des copies est en outre</w:t>
      </w:r>
      <w:r>
        <w:t xml:space="preserve"> </w:t>
      </w:r>
      <w:r>
        <w:rPr>
          <w:b/>
          <w:bCs/>
        </w:rPr>
        <w:t xml:space="preserve">masqué</w:t>
      </w:r>
      <w:r>
        <w:t xml:space="preserve"> </w:t>
      </w:r>
      <w:r>
        <w:t xml:space="preserve">avant envoi (nom, prénom, classe) — une pseudonymisation : la copie reste une donnée personnelle. Le seul transfert hors UE concerne</w:t>
      </w:r>
      <w:r>
        <w:t xml:space="preserve"> </w:t>
      </w:r>
      <w:r>
        <w:rPr>
          <w:b/>
          <w:bCs/>
        </w:rPr>
        <w:t xml:space="preserve">LemonSqueezy (USA)</w:t>
      </w:r>
      <w:r>
        <w:t xml:space="preserve"> </w:t>
      </w:r>
      <w:r>
        <w:t xml:space="preserve">: données d’abonnement uniquement (email, identifiant technique), encadrées par les SCCs ; aucune donnée pédagogique ni donnée d’élève transmise.</w:t>
      </w:r>
    </w:p>
    <w:p>
      <w:r>
        <w:pict>
          <v:rect style="width:0;height:1.5pt" o:hralign="center" o:hrstd="t" o:hr="t"/>
        </w:pict>
      </w:r>
    </w:p>
    <w:bookmarkEnd w:id="19"/>
    <w:bookmarkEnd w:id="20"/>
    <w:bookmarkStart w:id="24" w:name="analyse-des-risques"/>
    <w:p>
      <w:pPr>
        <w:pStyle w:val="Heading2"/>
      </w:pPr>
      <w:r>
        <w:t xml:space="preserve">3. Analyse des risques</w:t>
      </w:r>
    </w:p>
    <w:bookmarkStart w:id="21" w:name="contexte-spécifique-ia-et-éducation"/>
    <w:p>
      <w:pPr>
        <w:pStyle w:val="Heading3"/>
      </w:pPr>
      <w:r>
        <w:t xml:space="preserve">3.1 Contexte spécifique : IA et éducation</w:t>
      </w:r>
    </w:p>
    <w:p>
      <w:pPr>
        <w:pStyle w:val="FirstParagraph"/>
      </w:pPr>
      <w:r>
        <w:t xml:space="preserve">Le traitement utilise l’intelligence artificielle dans un contexte éducatif. Ce contexte implique :</w:t>
      </w:r>
    </w:p>
    <w:p>
      <w:pPr>
        <w:pStyle w:val="Compact"/>
        <w:numPr>
          <w:ilvl w:val="0"/>
          <w:numId w:val="1001"/>
        </w:numPr>
      </w:pPr>
      <w:r>
        <w:rPr>
          <w:b/>
          <w:bCs/>
        </w:rPr>
        <w:t xml:space="preserve">Règlement IA (AI Act)</w:t>
      </w:r>
      <w:r>
        <w:t xml:space="preserve"> </w:t>
      </w:r>
      <w:r>
        <w:t xml:space="preserve">: La fonction de correction de copies (analyze-copy) est classée</w:t>
      </w:r>
      <w:r>
        <w:t xml:space="preserve"> </w:t>
      </w:r>
      <w:r>
        <w:rPr>
          <w:b/>
          <w:bCs/>
        </w:rPr>
        <w:t xml:space="preserve">système à risque élevé</w:t>
      </w:r>
      <w:r>
        <w:t xml:space="preserve"> </w:t>
      </w:r>
      <w:r>
        <w:t xml:space="preserve">(Annexe III, point 3.b — évaluation des résultats d’apprentissage). Calendrier : obligations Annexe III applicables au</w:t>
      </w:r>
      <w:r>
        <w:t xml:space="preserve"> </w:t>
      </w:r>
      <w:r>
        <w:rPr>
          <w:b/>
          <w:bCs/>
        </w:rPr>
        <w:t xml:space="preserve">2 décembre 2027</w:t>
      </w:r>
      <w:r>
        <w:t xml:space="preserve"> </w:t>
      </w:r>
      <w:r>
        <w:t xml:space="preserve">(report « Digital Omnibus » approuvé par le Conseil de l’UE le 29 juin 2026) ; obligations de transparence de l’article 50 applicables depuis le 2 août 2026, déjà mises en œuvre</w:t>
      </w:r>
    </w:p>
    <w:p>
      <w:pPr>
        <w:pStyle w:val="Compact"/>
        <w:numPr>
          <w:ilvl w:val="0"/>
          <w:numId w:val="1001"/>
        </w:numPr>
      </w:pPr>
      <w:r>
        <w:rPr>
          <w:b/>
          <w:bCs/>
        </w:rPr>
        <w:t xml:space="preserve">RGPD</w:t>
      </w:r>
      <w:r>
        <w:t xml:space="preserve"> </w:t>
      </w:r>
      <w:r>
        <w:t xml:space="preserve">: Données d’élèves nécessitant protection appropriée</w:t>
      </w:r>
    </w:p>
    <w:p>
      <w:pPr>
        <w:pStyle w:val="Compact"/>
        <w:numPr>
          <w:ilvl w:val="0"/>
          <w:numId w:val="1001"/>
        </w:numPr>
      </w:pPr>
      <w:r>
        <w:rPr>
          <w:b/>
          <w:bCs/>
        </w:rPr>
        <w:t xml:space="preserve">Architecture Human-in-the-Loop</w:t>
      </w:r>
      <w:r>
        <w:t xml:space="preserve"> </w:t>
      </w:r>
      <w:r>
        <w:t xml:space="preserve">: L’enseignant valide, modifie ou rejette chaque proposition IA. L’IA ne prend</w:t>
      </w:r>
      <w:r>
        <w:t xml:space="preserve"> </w:t>
      </w:r>
      <w:r>
        <w:rPr>
          <w:b/>
          <w:bCs/>
        </w:rPr>
        <w:t xml:space="preserve">aucune décision autonome</w:t>
      </w:r>
      <w:r>
        <w:t xml:space="preserve">.</w:t>
      </w:r>
    </w:p>
    <w:bookmarkEnd w:id="21"/>
    <w:bookmarkStart w:id="22" w:name="matrice-des-risques"/>
    <w:p>
      <w:pPr>
        <w:pStyle w:val="Heading3"/>
      </w:pPr>
      <w:r>
        <w:t xml:space="preserve">3.2 Matrice des risques</w:t>
      </w:r>
    </w:p>
    <w:tbl>
      <w:tblPr>
        <w:tblStyle w:val="Table"/>
        <w:tblW w:type="pct" w:w="5000"/>
        <w:tblLayout w:type="fixed"/>
        <w:tblLook w:firstRow="1" w:lastRow="0" w:firstColumn="0" w:lastColumn="0" w:noHBand="0" w:noVBand="0" w:val="0020"/>
      </w:tblPr>
      <w:tblGrid>
        <w:gridCol w:w="856"/>
        <w:gridCol w:w="963"/>
        <w:gridCol w:w="1605"/>
        <w:gridCol w:w="1712"/>
        <w:gridCol w:w="963"/>
        <w:gridCol w:w="1819"/>
      </w:tblGrid>
      <w:tr>
        <w:trPr>
          <w:tblHeader w:val="on"/>
        </w:trPr>
        <w:tc>
          <w:tcPr/>
          <w:p>
            <w:pPr>
              <w:pStyle w:val="Compact"/>
            </w:pPr>
            <w:r>
              <w:t xml:space="preserve">Risque</w:t>
            </w:r>
          </w:p>
        </w:tc>
        <w:tc>
          <w:tcPr/>
          <w:p>
            <w:pPr>
              <w:pStyle w:val="Compact"/>
            </w:pPr>
            <w:r>
              <w:t xml:space="preserve">Gravité</w:t>
            </w:r>
          </w:p>
        </w:tc>
        <w:tc>
          <w:tcPr/>
          <w:p>
            <w:pPr>
              <w:pStyle w:val="Compact"/>
            </w:pPr>
            <w:r>
              <w:t xml:space="preserve">Vraisemblance</w:t>
            </w:r>
          </w:p>
        </w:tc>
        <w:tc>
          <w:tcPr/>
          <w:p>
            <w:pPr>
              <w:pStyle w:val="Compact"/>
            </w:pPr>
            <w:r>
              <w:t xml:space="preserve">Niveau initial</w:t>
            </w:r>
          </w:p>
        </w:tc>
        <w:tc>
          <w:tcPr/>
          <w:p>
            <w:pPr>
              <w:pStyle w:val="Compact"/>
            </w:pPr>
            <w:r>
              <w:t xml:space="preserve">Mesures</w:t>
            </w:r>
          </w:p>
        </w:tc>
        <w:tc>
          <w:tcPr/>
          <w:p>
            <w:pPr>
              <w:pStyle w:val="Compact"/>
            </w:pPr>
            <w:r>
              <w:t xml:space="preserve">Niveau résiduel</w:t>
            </w:r>
          </w:p>
        </w:tc>
      </w:tr>
      <w:tr>
        <w:tc>
          <w:tcPr/>
          <w:p>
            <w:pPr>
              <w:pStyle w:val="Compact"/>
            </w:pPr>
            <w:r>
              <w:t xml:space="preserve">Notation IA erronée</w:t>
            </w:r>
          </w:p>
        </w:tc>
        <w:tc>
          <w:tcPr/>
          <w:p>
            <w:pPr>
              <w:pStyle w:val="Compact"/>
            </w:pPr>
            <w:r>
              <w:t xml:space="preserve">Élevée</w:t>
            </w:r>
          </w:p>
        </w:tc>
        <w:tc>
          <w:tcPr/>
          <w:p>
            <w:pPr>
              <w:pStyle w:val="Compact"/>
            </w:pPr>
            <w:r>
              <w:t xml:space="preserve">Possible</w:t>
            </w:r>
          </w:p>
        </w:tc>
        <w:tc>
          <w:tcPr/>
          <w:p>
            <w:pPr>
              <w:pStyle w:val="Compact"/>
            </w:pPr>
            <w:r>
              <w:t xml:space="preserve">Important</w:t>
            </w:r>
          </w:p>
        </w:tc>
        <w:tc>
          <w:tcPr/>
          <w:p>
            <w:pPr>
              <w:pStyle w:val="Compact"/>
            </w:pPr>
            <w:r>
              <w:t xml:space="preserve">Validation obligatoire par l’enseignant, édition complète possible</w:t>
            </w:r>
          </w:p>
        </w:tc>
        <w:tc>
          <w:tcPr/>
          <w:p>
            <w:pPr>
              <w:pStyle w:val="Compact"/>
            </w:pPr>
            <w:r>
              <w:t xml:space="preserve">Mineur</w:t>
            </w:r>
          </w:p>
        </w:tc>
      </w:tr>
      <w:tr>
        <w:tc>
          <w:tcPr/>
          <w:p>
            <w:pPr>
              <w:pStyle w:val="Compact"/>
            </w:pPr>
            <w:r>
              <w:t xml:space="preserve">Biais algorithmiques (lisibilité, style)</w:t>
            </w:r>
          </w:p>
        </w:tc>
        <w:tc>
          <w:tcPr/>
          <w:p>
            <w:pPr>
              <w:pStyle w:val="Compact"/>
            </w:pPr>
            <w:r>
              <w:t xml:space="preserve">Moyenne</w:t>
            </w:r>
          </w:p>
        </w:tc>
        <w:tc>
          <w:tcPr/>
          <w:p>
            <w:pPr>
              <w:pStyle w:val="Compact"/>
            </w:pPr>
            <w:r>
              <w:t xml:space="preserve">Possible</w:t>
            </w:r>
          </w:p>
        </w:tc>
        <w:tc>
          <w:tcPr/>
          <w:p>
            <w:pPr>
              <w:pStyle w:val="Compact"/>
            </w:pPr>
            <w:r>
              <w:t xml:space="preserve">Significatif</w:t>
            </w:r>
          </w:p>
        </w:tc>
        <w:tc>
          <w:tcPr/>
          <w:p>
            <w:pPr>
              <w:pStyle w:val="Compact"/>
            </w:pPr>
            <w:r>
              <w:t xml:space="preserve">Score de lisibilité explicite, notation par compétences standardisée</w:t>
            </w:r>
          </w:p>
        </w:tc>
        <w:tc>
          <w:tcPr/>
          <w:p>
            <w:pPr>
              <w:pStyle w:val="Compact"/>
            </w:pPr>
            <w:r>
              <w:t xml:space="preserve">Mineur</w:t>
            </w:r>
          </w:p>
        </w:tc>
      </w:tr>
      <w:tr>
        <w:tc>
          <w:tcPr/>
          <w:p>
            <w:pPr>
              <w:pStyle w:val="Compact"/>
            </w:pPr>
            <w:r>
              <w:t xml:space="preserve">Accès non autorisé aux copies</w:t>
            </w:r>
          </w:p>
        </w:tc>
        <w:tc>
          <w:tcPr/>
          <w:p>
            <w:pPr>
              <w:pStyle w:val="Compact"/>
            </w:pPr>
            <w:r>
              <w:t xml:space="preserve">Élevée</w:t>
            </w:r>
          </w:p>
        </w:tc>
        <w:tc>
          <w:tcPr/>
          <w:p>
            <w:pPr>
              <w:pStyle w:val="Compact"/>
            </w:pPr>
            <w:r>
              <w:t xml:space="preserve">Peu probable</w:t>
            </w:r>
          </w:p>
        </w:tc>
        <w:tc>
          <w:tcPr/>
          <w:p>
            <w:pPr>
              <w:pStyle w:val="Compact"/>
            </w:pPr>
            <w:r>
              <w:t xml:space="preserve">Important</w:t>
            </w:r>
          </w:p>
        </w:tc>
        <w:tc>
          <w:tcPr/>
          <w:p>
            <w:pPr>
              <w:pStyle w:val="Compact"/>
            </w:pPr>
            <w:r>
              <w:t xml:space="preserve">Originaux dans un bucket UE à accès strictement contrôlé (jamais public, URL signée courte ou route authentifiée propriétaire), suppression auto 30 j après correction (au plus tard le 31 août) ; en-tête (nom) masqué avant l’IA ; lien de dépôt valable de 1 à 14 jours au choix de l’enseignant (7 par défaut) — son expiration ferme les nouveaux envois, les fichiers déjà déposés étant supprimés 30 j après leur correction (ou 30 j après l’expiration s’ils n’ont jamais été corrigés) ; Firestore/Storage rules ; HTTPS</w:t>
            </w:r>
          </w:p>
        </w:tc>
        <w:tc>
          <w:tcPr/>
          <w:p>
            <w:pPr>
              <w:pStyle w:val="Compact"/>
            </w:pPr>
            <w:r>
              <w:t xml:space="preserve">Mineur</w:t>
            </w:r>
          </w:p>
        </w:tc>
      </w:tr>
      <w:tr>
        <w:tc>
          <w:tcPr/>
          <w:p>
            <w:pPr>
              <w:pStyle w:val="Compact"/>
            </w:pPr>
            <w:r>
              <w:t xml:space="preserve">Profilage non consenti des élèves</w:t>
            </w:r>
          </w:p>
        </w:tc>
        <w:tc>
          <w:tcPr/>
          <w:p>
            <w:pPr>
              <w:pStyle w:val="Compact"/>
            </w:pPr>
            <w:r>
              <w:t xml:space="preserve">Élevée</w:t>
            </w:r>
          </w:p>
        </w:tc>
        <w:tc>
          <w:tcPr/>
          <w:p>
            <w:pPr>
              <w:pStyle w:val="Compact"/>
            </w:pPr>
            <w:r>
              <w:t xml:space="preserve">Peu probable</w:t>
            </w:r>
          </w:p>
        </w:tc>
        <w:tc>
          <w:tcPr/>
          <w:p>
            <w:pPr>
              <w:pStyle w:val="Compact"/>
            </w:pPr>
            <w:r>
              <w:t xml:space="preserve">Important</w:t>
            </w:r>
          </w:p>
        </w:tc>
        <w:tc>
          <w:tcPr/>
          <w:p>
            <w:pPr>
              <w:pStyle w:val="Compact"/>
            </w:pPr>
            <w:r>
              <w:t xml:space="preserve">Aucun nom d’élève en clair : noms saisis par l’enseignant chiffrés de bout en bout (clé dérivée de son mot de passe, illisible par le service), prénoms du canal élève chiffrés au repos (AES-256-GCM, clé serveur) et déchiffrés uniquement pour authentifier l’élève et afficher au professeur la liste de ses copies ; pas de nom complet, purge automatique</w:t>
            </w:r>
          </w:p>
        </w:tc>
        <w:tc>
          <w:tcPr/>
          <w:p>
            <w:pPr>
              <w:pStyle w:val="Compact"/>
            </w:pPr>
            <w:r>
              <w:t xml:space="preserve">Mineur</w:t>
            </w:r>
          </w:p>
        </w:tc>
      </w:tr>
      <w:tr>
        <w:tc>
          <w:tcPr/>
          <w:p>
            <w:pPr>
              <w:pStyle w:val="Compact"/>
            </w:pPr>
            <w:r>
              <w:t xml:space="preserve">Transfert données hors UE (paiement hors France : LemonSqueezy)</w:t>
            </w:r>
          </w:p>
        </w:tc>
        <w:tc>
          <w:tcPr/>
          <w:p>
            <w:pPr>
              <w:pStyle w:val="Compact"/>
            </w:pPr>
            <w:r>
              <w:t xml:space="preserve">Moyenne</w:t>
            </w:r>
          </w:p>
        </w:tc>
        <w:tc>
          <w:tcPr/>
          <w:p>
            <w:pPr>
              <w:pStyle w:val="Compact"/>
            </w:pPr>
            <w:r>
              <w:t xml:space="preserve">Possible</w:t>
            </w:r>
          </w:p>
        </w:tc>
        <w:tc>
          <w:tcPr/>
          <w:p>
            <w:pPr>
              <w:pStyle w:val="Compact"/>
            </w:pPr>
            <w:r>
              <w:t xml:space="preserve">Significatif</w:t>
            </w:r>
          </w:p>
        </w:tc>
        <w:tc>
          <w:tcPr/>
          <w:p>
            <w:pPr>
              <w:pStyle w:val="Compact"/>
            </w:pPr>
            <w:r>
              <w:t xml:space="preserve">Stripe (UE) pour les abonnés français ; SCCs, aucune donnée pédagogique ni donnée d’élève transmise, PCI-DSS</w:t>
            </w:r>
          </w:p>
        </w:tc>
        <w:tc>
          <w:tcPr/>
          <w:p>
            <w:pPr>
              <w:pStyle w:val="Compact"/>
            </w:pPr>
            <w:r>
              <w:t xml:space="preserve">Mineur</w:t>
            </w:r>
          </w:p>
        </w:tc>
      </w:tr>
      <w:tr>
        <w:tc>
          <w:tcPr/>
          <w:p>
            <w:pPr>
              <w:pStyle w:val="Compact"/>
            </w:pPr>
            <w:r>
              <w:t xml:space="preserve">Accès gouvernemental aux copies IA (Google US, données en UE)</w:t>
            </w:r>
          </w:p>
        </w:tc>
        <w:tc>
          <w:tcPr/>
          <w:p>
            <w:pPr>
              <w:pStyle w:val="Compact"/>
            </w:pPr>
            <w:r>
              <w:t xml:space="preserve">Moyenne</w:t>
            </w:r>
          </w:p>
        </w:tc>
        <w:tc>
          <w:tcPr/>
          <w:p>
            <w:pPr>
              <w:pStyle w:val="Compact"/>
            </w:pPr>
            <w:r>
              <w:t xml:space="preserve">Peu probable</w:t>
            </w:r>
          </w:p>
        </w:tc>
        <w:tc>
          <w:tcPr/>
          <w:p>
            <w:pPr>
              <w:pStyle w:val="Compact"/>
            </w:pPr>
            <w:r>
              <w:t xml:space="preserve">Significatif</w:t>
            </w:r>
          </w:p>
        </w:tc>
        <w:tc>
          <w:tcPr/>
          <w:p>
            <w:pPr>
              <w:pStyle w:val="Compact"/>
            </w:pPr>
            <w:r>
              <w:t xml:space="preserve">Correction en UE (multi-région</w:t>
            </w:r>
            <w:r>
              <w:t xml:space="preserve"> </w:t>
            </w:r>
            <w:r>
              <w:rPr>
                <w:rStyle w:val="VerbatimChar"/>
              </w:rPr>
              <w:t xml:space="preserve">eu</w:t>
            </w:r>
            <w:r>
              <w:t xml:space="preserve">), en-tête des copies masqué, pas de stockage pour analyse, DPA Google Cloud</w:t>
            </w:r>
          </w:p>
        </w:tc>
        <w:tc>
          <w:tcPr/>
          <w:p>
            <w:pPr>
              <w:pStyle w:val="Compact"/>
            </w:pPr>
            <w:r>
              <w:t xml:space="preserve">Mineur</w:t>
            </w:r>
          </w:p>
        </w:tc>
      </w:tr>
      <w:tr>
        <w:tc>
          <w:tcPr/>
          <w:p>
            <w:pPr>
              <w:pStyle w:val="Compact"/>
            </w:pPr>
            <w:r>
              <w:t xml:space="preserve">Faille technique / fuite de données</w:t>
            </w:r>
          </w:p>
        </w:tc>
        <w:tc>
          <w:tcPr/>
          <w:p>
            <w:pPr>
              <w:pStyle w:val="Compact"/>
            </w:pPr>
            <w:r>
              <w:t xml:space="preserve">Élevée</w:t>
            </w:r>
          </w:p>
        </w:tc>
        <w:tc>
          <w:tcPr/>
          <w:p>
            <w:pPr>
              <w:pStyle w:val="Compact"/>
            </w:pPr>
            <w:r>
              <w:t xml:space="preserve">Rare</w:t>
            </w:r>
          </w:p>
        </w:tc>
        <w:tc>
          <w:tcPr/>
          <w:p>
            <w:pPr>
              <w:pStyle w:val="Compact"/>
            </w:pPr>
            <w:r>
              <w:t xml:space="preserve">Significatif</w:t>
            </w:r>
          </w:p>
        </w:tc>
        <w:tc>
          <w:tcPr/>
          <w:p>
            <w:pPr>
              <w:pStyle w:val="Compact"/>
            </w:pPr>
            <w:r>
              <w:t xml:space="preserve">Plus de 13 000 tests, CSP strict, sanitization, Firestore rules deny-by-default</w:t>
            </w:r>
          </w:p>
        </w:tc>
        <w:tc>
          <w:tcPr/>
          <w:p>
            <w:pPr>
              <w:pStyle w:val="Compact"/>
            </w:pPr>
            <w:r>
              <w:t xml:space="preserve">Mineur</w:t>
            </w:r>
          </w:p>
        </w:tc>
      </w:tr>
    </w:tbl>
    <w:bookmarkEnd w:id="22"/>
    <w:bookmarkStart w:id="23" w:name="X263d922445aa3ae23bb65eb8effc79c59237462"/>
    <w:p>
      <w:pPr>
        <w:pStyle w:val="Heading3"/>
      </w:pPr>
      <w:r>
        <w:t xml:space="preserve">3.3 Impacts potentiels sur les droits et libertés</w:t>
      </w:r>
    </w:p>
    <w:tbl>
      <w:tblPr>
        <w:tblStyle w:val="Table"/>
        <w:tblW w:type="pct" w:w="5000"/>
        <w:tblLayout w:type="fixed"/>
        <w:tblLook w:firstRow="1" w:lastRow="0" w:firstColumn="0" w:lastColumn="0" w:noHBand="0" w:noVBand="0" w:val="0020"/>
      </w:tblPr>
      <w:tblGrid>
        <w:gridCol w:w="2184"/>
        <w:gridCol w:w="3550"/>
        <w:gridCol w:w="2184"/>
      </w:tblGrid>
      <w:tr>
        <w:trPr>
          <w:tblHeader w:val="on"/>
        </w:trPr>
        <w:tc>
          <w:tcPr/>
          <w:p>
            <w:pPr>
              <w:pStyle w:val="Compact"/>
            </w:pPr>
            <w:r>
              <w:t xml:space="preserve">Impact</w:t>
            </w:r>
          </w:p>
        </w:tc>
        <w:tc>
          <w:tcPr/>
          <w:p>
            <w:pPr>
              <w:pStyle w:val="Compact"/>
            </w:pPr>
            <w:r>
              <w:t xml:space="preserve">Description</w:t>
            </w:r>
          </w:p>
        </w:tc>
        <w:tc>
          <w:tcPr/>
          <w:p>
            <w:pPr>
              <w:pStyle w:val="Compact"/>
            </w:pPr>
            <w:r>
              <w:t xml:space="preserve">Niveau</w:t>
            </w:r>
          </w:p>
        </w:tc>
      </w:tr>
      <w:tr>
        <w:tc>
          <w:tcPr/>
          <w:p>
            <w:pPr>
              <w:pStyle w:val="Compact"/>
            </w:pPr>
            <w:r>
              <w:t xml:space="preserve">Préjudice académique</w:t>
            </w:r>
          </w:p>
        </w:tc>
        <w:tc>
          <w:tcPr/>
          <w:p>
            <w:pPr>
              <w:pStyle w:val="Compact"/>
            </w:pPr>
            <w:r>
              <w:t xml:space="preserve">Note incorrecte influençant le parcours scolaire</w:t>
            </w:r>
          </w:p>
        </w:tc>
        <w:tc>
          <w:tcPr/>
          <w:p>
            <w:pPr>
              <w:pStyle w:val="Compact"/>
            </w:pPr>
            <w:r>
              <w:t xml:space="preserve">Moyen (mitigé par validation enseignant)</w:t>
            </w:r>
          </w:p>
        </w:tc>
      </w:tr>
      <w:tr>
        <w:tc>
          <w:tcPr/>
          <w:p>
            <w:pPr>
              <w:pStyle w:val="Compact"/>
            </w:pPr>
            <w:r>
              <w:t xml:space="preserve">Atteinte vie privée</w:t>
            </w:r>
          </w:p>
        </w:tc>
        <w:tc>
          <w:tcPr/>
          <w:p>
            <w:pPr>
              <w:pStyle w:val="Compact"/>
            </w:pPr>
            <w:r>
              <w:t xml:space="preserve">Divulgation de copies ou corrections d’élèves</w:t>
            </w:r>
          </w:p>
        </w:tc>
        <w:tc>
          <w:tcPr/>
          <w:p>
            <w:pPr>
              <w:pStyle w:val="Compact"/>
            </w:pPr>
            <w:r>
              <w:t xml:space="preserve">Élevé (mitigé par chiffrement, hébergement UE, purge 30 j après correction)</w:t>
            </w:r>
          </w:p>
        </w:tc>
      </w:tr>
      <w:tr>
        <w:tc>
          <w:tcPr/>
          <w:p>
            <w:pPr>
              <w:pStyle w:val="Compact"/>
            </w:pPr>
            <w:r>
              <w:t xml:space="preserve">Discrimination</w:t>
            </w:r>
          </w:p>
        </w:tc>
        <w:tc>
          <w:tcPr/>
          <w:p>
            <w:pPr>
              <w:pStyle w:val="Compact"/>
            </w:pPr>
            <w:r>
              <w:t xml:space="preserve">Biais algorithmiques dans l’évaluation</w:t>
            </w:r>
          </w:p>
        </w:tc>
        <w:tc>
          <w:tcPr/>
          <w:p>
            <w:pPr>
              <w:pStyle w:val="Compact"/>
            </w:pPr>
            <w:r>
              <w:t xml:space="preserve">Moyen (mitigé par compétences D/A/PA/NA)</w:t>
            </w:r>
          </w:p>
        </w:tc>
      </w:tr>
      <w:tr>
        <w:tc>
          <w:tcPr/>
          <w:p>
            <w:pPr>
              <w:pStyle w:val="Compact"/>
            </w:pPr>
            <w:r>
              <w:t xml:space="preserve">Perte d’autonomie</w:t>
            </w:r>
          </w:p>
        </w:tc>
        <w:tc>
          <w:tcPr/>
          <w:p>
            <w:pPr>
              <w:pStyle w:val="Compact"/>
            </w:pPr>
            <w:r>
              <w:t xml:space="preserve">Dépendance excessive à la notation IA</w:t>
            </w:r>
          </w:p>
        </w:tc>
        <w:tc>
          <w:tcPr/>
          <w:p>
            <w:pPr>
              <w:pStyle w:val="Compact"/>
            </w:pPr>
            <w:r>
              <w:t xml:space="preserve">Faible (enseignant décideur final)</w:t>
            </w:r>
          </w:p>
        </w:tc>
      </w:tr>
    </w:tbl>
    <w:p>
      <w:r>
        <w:pict>
          <v:rect style="width:0;height:1.5pt" o:hralign="center" o:hrstd="t" o:hr="t"/>
        </w:pict>
      </w:r>
    </w:p>
    <w:bookmarkEnd w:id="23"/>
    <w:bookmarkEnd w:id="24"/>
    <w:bookmarkStart w:id="29" w:name="Xc073d0e56607cd7eb30077acb2a5ef2a61c7a59"/>
    <w:p>
      <w:pPr>
        <w:pStyle w:val="Heading2"/>
      </w:pPr>
      <w:r>
        <w:t xml:space="preserve">4. Mesures de sécurité mises en œuvre par l’éditeur</w:t>
      </w:r>
    </w:p>
    <w:bookmarkStart w:id="25" w:name="sécurité-technique"/>
    <w:p>
      <w:pPr>
        <w:pStyle w:val="Heading3"/>
      </w:pPr>
      <w:r>
        <w:t xml:space="preserve">4.1 Sécurité technique</w:t>
      </w:r>
    </w:p>
    <w:tbl>
      <w:tblPr>
        <w:tblStyle w:val="Table"/>
        <w:tblW w:type="pct" w:w="5000"/>
        <w:tblLayout w:type="fixed"/>
        <w:tblLook w:firstRow="1" w:lastRow="0" w:firstColumn="0" w:lastColumn="0" w:noHBand="0" w:noVBand="0" w:val="0020"/>
      </w:tblPr>
      <w:tblGrid>
        <w:gridCol w:w="3017"/>
        <w:gridCol w:w="4902"/>
      </w:tblGrid>
      <w:tr>
        <w:trPr>
          <w:tblHeader w:val="on"/>
        </w:trPr>
        <w:tc>
          <w:tcPr/>
          <w:p>
            <w:pPr>
              <w:pStyle w:val="Compact"/>
            </w:pPr>
            <w:r>
              <w:t xml:space="preserve">Mesure</w:t>
            </w:r>
          </w:p>
        </w:tc>
        <w:tc>
          <w:tcPr/>
          <w:p>
            <w:pPr>
              <w:pStyle w:val="Compact"/>
            </w:pPr>
            <w:r>
              <w:t xml:space="preserve">Description</w:t>
            </w:r>
          </w:p>
        </w:tc>
      </w:tr>
      <w:tr>
        <w:tc>
          <w:tcPr/>
          <w:p>
            <w:pPr>
              <w:pStyle w:val="Compact"/>
            </w:pPr>
            <w:r>
              <w:rPr>
                <w:b/>
                <w:bCs/>
              </w:rPr>
              <w:t xml:space="preserve">Authentification</w:t>
            </w:r>
          </w:p>
        </w:tc>
        <w:tc>
          <w:tcPr/>
          <w:p>
            <w:pPr>
              <w:pStyle w:val="Compact"/>
            </w:pPr>
            <w:r>
              <w:t xml:space="preserve">Firebase Authentication avec vérification email, mot de passe de 8 caractères minimum</w:t>
            </w:r>
          </w:p>
        </w:tc>
      </w:tr>
      <w:tr>
        <w:tc>
          <w:tcPr/>
          <w:p>
            <w:pPr>
              <w:pStyle w:val="Compact"/>
            </w:pPr>
            <w:r>
              <w:rPr>
                <w:b/>
                <w:bCs/>
              </w:rPr>
              <w:t xml:space="preserve">Double authentification</w:t>
            </w:r>
          </w:p>
        </w:tc>
        <w:tc>
          <w:tcPr/>
          <w:p>
            <w:pPr>
              <w:pStyle w:val="Compact"/>
            </w:pPr>
            <w:r>
              <w:t xml:space="preserve">TOTP par application d’authentification, proposée à chaque enseignant (Google Cloud Identity Platform) ; déconnexion automatique après 30 min d’inactivité pour les ordinateurs partagés</w:t>
            </w:r>
          </w:p>
        </w:tc>
      </w:tr>
      <w:tr>
        <w:tc>
          <w:tcPr/>
          <w:p>
            <w:pPr>
              <w:pStyle w:val="Compact"/>
            </w:pPr>
            <w:r>
              <w:rPr>
                <w:b/>
                <w:bCs/>
              </w:rPr>
              <w:t xml:space="preserve">Autorisation</w:t>
            </w:r>
          </w:p>
        </w:tc>
        <w:tc>
          <w:tcPr/>
          <w:p>
            <w:pPr>
              <w:pStyle w:val="Compact"/>
            </w:pPr>
            <w:r>
              <w:t xml:space="preserve">Règles Firestore strictes (deny by default, isolation userId)</w:t>
            </w:r>
          </w:p>
        </w:tc>
      </w:tr>
      <w:tr>
        <w:tc>
          <w:tcPr/>
          <w:p>
            <w:pPr>
              <w:pStyle w:val="Compact"/>
            </w:pPr>
            <w:r>
              <w:rPr>
                <w:b/>
                <w:bCs/>
              </w:rPr>
              <w:t xml:space="preserve">Chiffrement transit</w:t>
            </w:r>
          </w:p>
        </w:tc>
        <w:tc>
          <w:tcPr/>
          <w:p>
            <w:pPr>
              <w:pStyle w:val="Compact"/>
            </w:pPr>
            <w:r>
              <w:t xml:space="preserve">HTTPS/TLS 1.3 systématique</w:t>
            </w:r>
          </w:p>
        </w:tc>
      </w:tr>
      <w:tr>
        <w:tc>
          <w:tcPr/>
          <w:p>
            <w:pPr>
              <w:pStyle w:val="Compact"/>
            </w:pPr>
            <w:r>
              <w:rPr>
                <w:b/>
                <w:bCs/>
              </w:rPr>
              <w:t xml:space="preserve">Chiffrement repos</w:t>
            </w:r>
          </w:p>
        </w:tc>
        <w:tc>
          <w:tcPr/>
          <w:p>
            <w:pPr>
              <w:pStyle w:val="Compact"/>
            </w:pPr>
            <w:r>
              <w:t xml:space="preserve">AES-256 (Firebase/GCP)</w:t>
            </w:r>
          </w:p>
        </w:tc>
      </w:tr>
      <w:tr>
        <w:tc>
          <w:tcPr/>
          <w:p>
            <w:pPr>
              <w:pStyle w:val="Compact"/>
            </w:pPr>
            <w:r>
              <w:rPr>
                <w:b/>
                <w:bCs/>
              </w:rPr>
              <w:t xml:space="preserve">Chiffrement des noms d’élèves</w:t>
            </w:r>
          </w:p>
        </w:tc>
        <w:tc>
          <w:tcPr/>
          <w:p>
            <w:pPr>
              <w:pStyle w:val="Compact"/>
            </w:pPr>
            <w:r>
              <w:t xml:space="preserve">Aucun nom en clair. Noms saisis par l’enseignant : chiffrés côté client (zero-knowledge, clé dérivée du mot de passe, le serveur ne voit que le chiffré). Prénoms du canal élève (portfolio, dépôts) : chiffrés au repos (AES-256-GCM, clé serveur), déchiffrés uniquement pour authentifier l’élève et afficher au professeur la liste de ses copies</w:t>
            </w:r>
          </w:p>
        </w:tc>
      </w:tr>
      <w:tr>
        <w:tc>
          <w:tcPr/>
          <w:p>
            <w:pPr>
              <w:pStyle w:val="Compact"/>
            </w:pPr>
            <w:r>
              <w:rPr>
                <w:b/>
                <w:bCs/>
              </w:rPr>
              <w:t xml:space="preserve">Protection XSS</w:t>
            </w:r>
          </w:p>
        </w:tc>
        <w:tc>
          <w:tcPr/>
          <w:p>
            <w:pPr>
              <w:pStyle w:val="Compact"/>
            </w:pPr>
            <w:r>
              <w:t xml:space="preserve">Sanitization (</w:t>
            </w:r>
            <w:r>
              <w:rPr>
                <w:rStyle w:val="VerbatimChar"/>
              </w:rPr>
              <w:t xml:space="preserve">lib/sanitize.ts</w:t>
            </w:r>
            <w:r>
              <w:t xml:space="preserve">), CSP headers strict</w:t>
            </w:r>
          </w:p>
        </w:tc>
      </w:tr>
      <w:tr>
        <w:tc>
          <w:tcPr/>
          <w:p>
            <w:pPr>
              <w:pStyle w:val="Compact"/>
            </w:pPr>
            <w:r>
              <w:rPr>
                <w:b/>
                <w:bCs/>
              </w:rPr>
              <w:t xml:space="preserve">Protection injection prompt</w:t>
            </w:r>
          </w:p>
        </w:tc>
        <w:tc>
          <w:tcPr/>
          <w:p>
            <w:pPr>
              <w:pStyle w:val="Compact"/>
            </w:pPr>
            <w:r>
              <w:t xml:space="preserve">Plus de 45 patterns détectés et bloqués</w:t>
            </w:r>
          </w:p>
        </w:tc>
      </w:tr>
      <w:tr>
        <w:tc>
          <w:tcPr/>
          <w:p>
            <w:pPr>
              <w:pStyle w:val="Compact"/>
            </w:pPr>
            <w:r>
              <w:rPr>
                <w:b/>
                <w:bCs/>
              </w:rPr>
              <w:t xml:space="preserve">Validation fichiers</w:t>
            </w:r>
          </w:p>
        </w:tc>
        <w:tc>
          <w:tcPr/>
          <w:p>
            <w:pPr>
              <w:pStyle w:val="Compact"/>
            </w:pPr>
            <w:r>
              <w:t xml:space="preserve">Types MIME whitelist, taille max 10 MB</w:t>
            </w:r>
          </w:p>
        </w:tc>
      </w:tr>
      <w:tr>
        <w:tc>
          <w:tcPr/>
          <w:p>
            <w:pPr>
              <w:pStyle w:val="Compact"/>
            </w:pPr>
            <w:r>
              <w:rPr>
                <w:b/>
                <w:bCs/>
              </w:rPr>
              <w:t xml:space="preserve">Rate limiting</w:t>
            </w:r>
          </w:p>
        </w:tc>
        <w:tc>
          <w:tcPr/>
          <w:p>
            <w:pPr>
              <w:pStyle w:val="Compact"/>
            </w:pPr>
            <w:r>
              <w:t xml:space="preserve">20-30 requêtes/minute par utilisateur</w:t>
            </w:r>
          </w:p>
        </w:tc>
      </w:tr>
    </w:tbl>
    <w:bookmarkEnd w:id="25"/>
    <w:bookmarkStart w:id="26" w:name="sécurité-ia"/>
    <w:p>
      <w:pPr>
        <w:pStyle w:val="Heading3"/>
      </w:pPr>
      <w:r>
        <w:t xml:space="preserve">4.2 Sécurité IA</w:t>
      </w:r>
    </w:p>
    <w:tbl>
      <w:tblPr>
        <w:tblStyle w:val="Table"/>
        <w:tblW w:type="pct" w:w="5000"/>
        <w:tblLayout w:type="fixed"/>
        <w:tblLook w:firstRow="1" w:lastRow="0" w:firstColumn="0" w:lastColumn="0" w:noHBand="0" w:noVBand="0" w:val="0020"/>
      </w:tblPr>
      <w:tblGrid>
        <w:gridCol w:w="3017"/>
        <w:gridCol w:w="4902"/>
      </w:tblGrid>
      <w:tr>
        <w:trPr>
          <w:tblHeader w:val="on"/>
        </w:trPr>
        <w:tc>
          <w:tcPr/>
          <w:p>
            <w:pPr>
              <w:pStyle w:val="Compact"/>
            </w:pPr>
            <w:r>
              <w:t xml:space="preserve">Mesure</w:t>
            </w:r>
          </w:p>
        </w:tc>
        <w:tc>
          <w:tcPr/>
          <w:p>
            <w:pPr>
              <w:pStyle w:val="Compact"/>
            </w:pPr>
            <w:r>
              <w:t xml:space="preserve">Description</w:t>
            </w:r>
          </w:p>
        </w:tc>
      </w:tr>
      <w:tr>
        <w:tc>
          <w:tcPr/>
          <w:p>
            <w:pPr>
              <w:pStyle w:val="Compact"/>
            </w:pPr>
            <w:r>
              <w:rPr>
                <w:b/>
                <w:bCs/>
              </w:rPr>
              <w:t xml:space="preserve">Traitement UE par défaut</w:t>
            </w:r>
          </w:p>
        </w:tc>
        <w:tc>
          <w:tcPr/>
          <w:p>
            <w:pPr>
              <w:pStyle w:val="Compact"/>
            </w:pPr>
            <w:r>
              <w:t xml:space="preserve">Gemini 2.5 Flash — endpoint Vertex AI europe-west1 (Belgique)</w:t>
            </w:r>
          </w:p>
        </w:tc>
      </w:tr>
      <w:tr>
        <w:tc>
          <w:tcPr/>
          <w:p>
            <w:pPr>
              <w:pStyle w:val="Compact"/>
            </w:pPr>
            <w:r>
              <w:rPr>
                <w:b/>
                <w:bCs/>
              </w:rPr>
              <w:t xml:space="preserve">Correction de copies (UE)</w:t>
            </w:r>
          </w:p>
        </w:tc>
        <w:tc>
          <w:tcPr/>
          <w:p>
            <w:pPr>
              <w:pStyle w:val="Compact"/>
            </w:pPr>
            <w:r>
              <w:t xml:space="preserve">Gemini 3.7 Flash — multi-région européenne</w:t>
            </w:r>
            <w:r>
              <w:t xml:space="preserve"> </w:t>
            </w:r>
            <w:r>
              <w:rPr>
                <w:rStyle w:val="VerbatimChar"/>
              </w:rPr>
              <w:t xml:space="preserve">eu</w:t>
            </w:r>
            <w:r>
              <w:t xml:space="preserve"> </w:t>
            </w:r>
            <w:r>
              <w:t xml:space="preserve">(Belgique/Pays-Bas), en-tête des copies masqué avant envoi</w:t>
            </w:r>
          </w:p>
        </w:tc>
      </w:tr>
      <w:tr>
        <w:tc>
          <w:tcPr/>
          <w:p>
            <w:pPr>
              <w:pStyle w:val="Compact"/>
            </w:pPr>
            <w:r>
              <w:rPr>
                <w:b/>
                <w:bCs/>
              </w:rPr>
              <w:t xml:space="preserve">Fallback de résilience</w:t>
            </w:r>
          </w:p>
        </w:tc>
        <w:tc>
          <w:tcPr/>
          <w:p>
            <w:pPr>
              <w:pStyle w:val="Compact"/>
            </w:pPr>
            <w:r>
              <w:t xml:space="preserve">Bascule automatique sur Gemini 2.5 Flash (</w:t>
            </w:r>
            <w:r>
              <w:rPr>
                <w:rStyle w:val="VerbatimChar"/>
              </w:rPr>
              <w:t xml:space="preserve">europe-west1</w:t>
            </w:r>
            <w:r>
              <w:t xml:space="preserve">) en cas d’indisponibilité</w:t>
            </w:r>
          </w:p>
        </w:tc>
      </w:tr>
      <w:tr>
        <w:tc>
          <w:tcPr/>
          <w:p>
            <w:pPr>
              <w:pStyle w:val="Compact"/>
            </w:pPr>
            <w:r>
              <w:rPr>
                <w:b/>
                <w:bCs/>
              </w:rPr>
              <w:t xml:space="preserve">Non-entraînement</w:t>
            </w:r>
          </w:p>
        </w:tc>
        <w:tc>
          <w:tcPr/>
          <w:p>
            <w:pPr>
              <w:pStyle w:val="Compact"/>
            </w:pPr>
            <w:r>
              <w:t xml:space="preserve">Données non utilisées pour entraîner les modèles Google (les deux modèles)</w:t>
            </w:r>
          </w:p>
        </w:tc>
      </w:tr>
      <w:tr>
        <w:tc>
          <w:tcPr/>
          <w:p>
            <w:pPr>
              <w:pStyle w:val="Compact"/>
            </w:pPr>
            <w:r>
              <w:rPr>
                <w:b/>
                <w:bCs/>
              </w:rPr>
              <w:t xml:space="preserve">Protection prompt injection</w:t>
            </w:r>
          </w:p>
        </w:tc>
        <w:tc>
          <w:tcPr/>
          <w:p>
            <w:pPr>
              <w:pStyle w:val="Compact"/>
            </w:pPr>
            <w:r>
              <w:t xml:space="preserve">Clauses de sécurité dans tous les prompts système</w:t>
            </w:r>
          </w:p>
        </w:tc>
      </w:tr>
      <w:tr>
        <w:tc>
          <w:tcPr/>
          <w:p>
            <w:pPr>
              <w:pStyle w:val="Compact"/>
            </w:pPr>
            <w:r>
              <w:rPr>
                <w:b/>
                <w:bCs/>
              </w:rPr>
              <w:t xml:space="preserve">Reproductibilité</w:t>
            </w:r>
          </w:p>
        </w:tc>
        <w:tc>
          <w:tcPr/>
          <w:p>
            <w:pPr>
              <w:pStyle w:val="Compact"/>
            </w:pPr>
            <w:r>
              <w:t xml:space="preserve">Temperature 0, seed 42 (résultats déterministes)</w:t>
            </w:r>
          </w:p>
        </w:tc>
      </w:tr>
      <w:tr>
        <w:tc>
          <w:tcPr/>
          <w:p>
            <w:pPr>
              <w:pStyle w:val="Compact"/>
            </w:pPr>
            <w:r>
              <w:rPr>
                <w:b/>
                <w:bCs/>
              </w:rPr>
              <w:t xml:space="preserve">Human-in-the-Loop</w:t>
            </w:r>
          </w:p>
        </w:tc>
        <w:tc>
          <w:tcPr/>
          <w:p>
            <w:pPr>
              <w:pStyle w:val="Compact"/>
            </w:pPr>
            <w:r>
              <w:t xml:space="preserve">Validation obligatoire par l’enseignant pour chaque note</w:t>
            </w:r>
          </w:p>
        </w:tc>
      </w:tr>
    </w:tbl>
    <w:bookmarkEnd w:id="26"/>
    <w:bookmarkStart w:id="27" w:name="gestion-des-droits"/>
    <w:p>
      <w:pPr>
        <w:pStyle w:val="Heading3"/>
      </w:pPr>
      <w:r>
        <w:t xml:space="preserve">4.3 Gestion des droits</w:t>
      </w:r>
    </w:p>
    <w:tbl>
      <w:tblPr>
        <w:tblStyle w:val="Table"/>
        <w:tblW w:type="pct" w:w="5000"/>
        <w:tblLayout w:type="fixed"/>
        <w:tblLook w:firstRow="1" w:lastRow="0" w:firstColumn="0" w:lastColumn="0" w:noHBand="0" w:noVBand="0" w:val="0020"/>
      </w:tblPr>
      <w:tblGrid>
        <w:gridCol w:w="2520"/>
        <w:gridCol w:w="5400"/>
      </w:tblGrid>
      <w:tr>
        <w:trPr>
          <w:tblHeader w:val="on"/>
        </w:trPr>
        <w:tc>
          <w:tcPr/>
          <w:p>
            <w:pPr>
              <w:pStyle w:val="Compact"/>
            </w:pPr>
            <w:r>
              <w:t xml:space="preserve">Droit</w:t>
            </w:r>
          </w:p>
        </w:tc>
        <w:tc>
          <w:tcPr/>
          <w:p>
            <w:pPr>
              <w:pStyle w:val="Compact"/>
            </w:pPr>
            <w:r>
              <w:t xml:space="preserve">Mise en œuvre</w:t>
            </w:r>
          </w:p>
        </w:tc>
      </w:tr>
      <w:tr>
        <w:tc>
          <w:tcPr/>
          <w:p>
            <w:pPr>
              <w:pStyle w:val="Compact"/>
            </w:pPr>
            <w:r>
              <w:rPr>
                <w:b/>
                <w:bCs/>
              </w:rPr>
              <w:t xml:space="preserve">Accès</w:t>
            </w:r>
          </w:p>
        </w:tc>
        <w:tc>
          <w:tcPr/>
          <w:p>
            <w:pPr>
              <w:pStyle w:val="Compact"/>
            </w:pPr>
            <w:r>
              <w:t xml:space="preserve">Données visibles dans l’interface (corrections, barèmes, exercices)</w:t>
            </w:r>
          </w:p>
        </w:tc>
      </w:tr>
      <w:tr>
        <w:tc>
          <w:tcPr/>
          <w:p>
            <w:pPr>
              <w:pStyle w:val="Compact"/>
            </w:pPr>
            <w:r>
              <w:rPr>
                <w:b/>
                <w:bCs/>
              </w:rPr>
              <w:t xml:space="preserve">Rectification</w:t>
            </w:r>
          </w:p>
        </w:tc>
        <w:tc>
          <w:tcPr/>
          <w:p>
            <w:pPr>
              <w:pStyle w:val="Compact"/>
            </w:pPr>
            <w:r>
              <w:t xml:space="preserve">Modification directe dans l’application</w:t>
            </w:r>
          </w:p>
        </w:tc>
      </w:tr>
      <w:tr>
        <w:tc>
          <w:tcPr/>
          <w:p>
            <w:pPr>
              <w:pStyle w:val="Compact"/>
            </w:pPr>
            <w:r>
              <w:rPr>
                <w:b/>
                <w:bCs/>
              </w:rPr>
              <w:t xml:space="preserve">Effacement</w:t>
            </w:r>
          </w:p>
        </w:tc>
        <w:tc>
          <w:tcPr/>
          <w:p>
            <w:pPr>
              <w:pStyle w:val="Compact"/>
            </w:pPr>
            <w:r>
              <w:t xml:space="preserve">Suppression de compte et données associées</w:t>
            </w:r>
          </w:p>
        </w:tc>
      </w:tr>
      <w:tr>
        <w:tc>
          <w:tcPr/>
          <w:p>
            <w:pPr>
              <w:pStyle w:val="Compact"/>
            </w:pPr>
            <w:r>
              <w:rPr>
                <w:b/>
                <w:bCs/>
              </w:rPr>
              <w:t xml:space="preserve">Portabilité</w:t>
            </w:r>
          </w:p>
        </w:tc>
        <w:tc>
          <w:tcPr/>
          <w:p>
            <w:pPr>
              <w:pStyle w:val="Compact"/>
            </w:pPr>
            <w:r>
              <w:t xml:space="preserve">Export des données sur demande (JSON/CSV)</w:t>
            </w:r>
          </w:p>
        </w:tc>
      </w:tr>
      <w:tr>
        <w:tc>
          <w:tcPr/>
          <w:p>
            <w:pPr>
              <w:pStyle w:val="Compact"/>
            </w:pPr>
            <w:r>
              <w:rPr>
                <w:b/>
                <w:bCs/>
              </w:rPr>
              <w:t xml:space="preserve">Opposition</w:t>
            </w:r>
          </w:p>
        </w:tc>
        <w:tc>
          <w:tcPr/>
          <w:p>
            <w:pPr>
              <w:pStyle w:val="Compact"/>
            </w:pPr>
            <w:r>
              <w:t xml:space="preserve">Les familles peuvent s’opposer au traitement pour des raisons tenant à leur situation particulière (FAQ CNIL du 18 juin 2025). La demande s’adresse à l’enseignant ou au chef d’établissement ; les copies de l’élève concerné sont alors corrigées hors application, sans aucune pénalité pour l’élève. Décision réversible à tout moment</w:t>
            </w:r>
          </w:p>
        </w:tc>
      </w:tr>
    </w:tbl>
    <w:bookmarkEnd w:id="27"/>
    <w:bookmarkStart w:id="28" w:name="X39f8103f963c2994a08d23e4159c4d5aab9b03f"/>
    <w:p>
      <w:pPr>
        <w:pStyle w:val="Heading3"/>
      </w:pPr>
      <w:r>
        <w:t xml:space="preserve">4.4 Spécificités de protection des données élèves</w:t>
      </w:r>
    </w:p>
    <w:p>
      <w:pPr>
        <w:pStyle w:val="Compact"/>
        <w:numPr>
          <w:ilvl w:val="0"/>
          <w:numId w:val="1002"/>
        </w:numPr>
      </w:pPr>
      <w:r>
        <w:rPr>
          <w:b/>
          <w:bCs/>
        </w:rPr>
        <w:t xml:space="preserve">Copies</w:t>
      </w:r>
      <w:r>
        <w:t xml:space="preserve"> </w:t>
      </w:r>
      <w:r>
        <w:t xml:space="preserve">: original conservé 30 jours après la correction (UE, accès contrôlé, suppression automatique)</w:t>
      </w:r>
    </w:p>
    <w:p>
      <w:pPr>
        <w:pStyle w:val="Compact"/>
        <w:numPr>
          <w:ilvl w:val="0"/>
          <w:numId w:val="1002"/>
        </w:numPr>
      </w:pPr>
      <w:r>
        <w:rPr>
          <w:b/>
          <w:bCs/>
        </w:rPr>
        <w:t xml:space="preserve">Noms saisis par l’enseignant</w:t>
      </w:r>
      <w:r>
        <w:t xml:space="preserve"> </w:t>
      </w:r>
      <w:r>
        <w:t xml:space="preserve">(liste de classe, progression, corrections) : chiffrement zero-knowledge — la clé est dérivée du mot de passe de l’enseignant et n’est jamais transmise ; le serveur ne peut techniquement pas lire ces noms</w:t>
      </w:r>
    </w:p>
    <w:p>
      <w:pPr>
        <w:pStyle w:val="Compact"/>
        <w:numPr>
          <w:ilvl w:val="0"/>
          <w:numId w:val="1002"/>
        </w:numPr>
      </w:pPr>
      <w:r>
        <w:rPr>
          <w:b/>
          <w:bCs/>
        </w:rPr>
        <w:t xml:space="preserve">Prénoms du canal élève</w:t>
      </w:r>
      <w:r>
        <w:t xml:space="preserve"> </w:t>
      </w:r>
      <w:r>
        <w:t xml:space="preserve">(connexion au portfolio, dépôt de copies) : chiffrés au repos en base (AES-256-GCM, clé détenue par le service). Le service peut les déchiffrer, et ne le fait que pour deux opérations : authentifier l’élève qui saisit son prénom, et afficher au professeur la liste des copies déposées par sa classe</w:t>
      </w:r>
    </w:p>
    <w:p>
      <w:pPr>
        <w:pStyle w:val="Compact"/>
        <w:numPr>
          <w:ilvl w:val="0"/>
          <w:numId w:val="1002"/>
        </w:numPr>
      </w:pPr>
      <w:r>
        <w:rPr>
          <w:b/>
          <w:bCs/>
        </w:rPr>
        <w:t xml:space="preserve">Exercices</w:t>
      </w:r>
      <w:r>
        <w:t xml:space="preserve"> </w:t>
      </w:r>
      <w:r>
        <w:t xml:space="preserve">: accès par code + prénom, pas de compte élève, pas de nom complet</w:t>
      </w:r>
    </w:p>
    <w:p>
      <w:pPr>
        <w:pStyle w:val="Compact"/>
        <w:numPr>
          <w:ilvl w:val="0"/>
          <w:numId w:val="1002"/>
        </w:numPr>
      </w:pPr>
      <w:r>
        <w:rPr>
          <w:b/>
          <w:bCs/>
        </w:rPr>
        <w:t xml:space="preserve">Plans de travail</w:t>
      </w:r>
      <w:r>
        <w:t xml:space="preserve"> </w:t>
      </w:r>
      <w:r>
        <w:t xml:space="preserve">: accès par code + prénom, progression supprimée à la clôture du plan</w:t>
      </w:r>
    </w:p>
    <w:p>
      <w:pPr>
        <w:pStyle w:val="Compact"/>
        <w:numPr>
          <w:ilvl w:val="0"/>
          <w:numId w:val="1002"/>
        </w:numPr>
      </w:pPr>
      <w:r>
        <w:rPr>
          <w:b/>
          <w:bCs/>
        </w:rPr>
        <w:t xml:space="preserve">Aucun tracking</w:t>
      </w:r>
      <w:r>
        <w:t xml:space="preserve"> </w:t>
      </w:r>
      <w:r>
        <w:t xml:space="preserve">: pas de cookies, pas d’analytics,</w:t>
      </w:r>
      <w:r>
        <w:t xml:space="preserve"> </w:t>
      </w:r>
      <w:r>
        <w:rPr>
          <w:rStyle w:val="VerbatimChar"/>
        </w:rPr>
        <w:t xml:space="preserve">noindex/nofollow</w:t>
      </w:r>
    </w:p>
    <w:p>
      <w:pPr>
        <w:pStyle w:val="Compact"/>
        <w:numPr>
          <w:ilvl w:val="0"/>
          <w:numId w:val="1002"/>
        </w:numPr>
      </w:pPr>
      <w:r>
        <w:rPr>
          <w:b/>
          <w:bCs/>
        </w:rPr>
        <w:t xml:space="preserve">Tests</w:t>
      </w:r>
      <w:r>
        <w:t xml:space="preserve"> </w:t>
      </w:r>
      <w:r>
        <w:t xml:space="preserve">: plus de 13 000 tests automatisés dont tests de sécurité spécifiques</w:t>
      </w:r>
    </w:p>
    <w:p>
      <w:r>
        <w:pict>
          <v:rect style="width:0;height:1.5pt" o:hralign="center" o:hrstd="t" o:hr="t"/>
        </w:pict>
      </w:r>
    </w:p>
    <w:bookmarkEnd w:id="28"/>
    <w:bookmarkEnd w:id="29"/>
    <w:bookmarkStart w:id="33" w:name="X02f2a8403bd20fe8ceb1817b8da69a58bf7bf45"/>
    <w:p>
      <w:pPr>
        <w:pStyle w:val="Heading2"/>
      </w:pPr>
      <w:r>
        <w:t xml:space="preserve">5. Mesures complémentaires de l’établissement</w:t>
      </w:r>
    </w:p>
    <w:bookmarkStart w:id="30" w:name="information-des-personnes-concernées"/>
    <w:p>
      <w:pPr>
        <w:pStyle w:val="Heading3"/>
      </w:pPr>
      <w:r>
        <w:t xml:space="preserve">5.1 Information des personnes concernées</w:t>
      </w:r>
    </w:p>
    <w:p>
      <w:pPr>
        <w:pStyle w:val="FirstParagraph"/>
      </w:pPr>
      <w:r>
        <w:t xml:space="preserve">[À COMPLÉTER PAR L’ÉTABLISSEMENT]</w:t>
      </w:r>
    </w:p>
    <w:p>
      <w:pPr>
        <w:pStyle w:val="Compact"/>
        <w:numPr>
          <w:ilvl w:val="0"/>
          <w:numId w:val="1003"/>
        </w:numPr>
      </w:pPr>
      <w:r>
        <w:t xml:space="preserve">Information des enseignants (réunion pédagogique / note de service)</w:t>
      </w:r>
    </w:p>
    <w:p>
      <w:pPr>
        <w:pStyle w:val="Compact"/>
        <w:numPr>
          <w:ilvl w:val="0"/>
          <w:numId w:val="1004"/>
        </w:numPr>
      </w:pPr>
      <w:r>
        <w:t xml:space="preserve">Information des élèves (document distribué / affichage ENT)</w:t>
      </w:r>
    </w:p>
    <w:p>
      <w:pPr>
        <w:pStyle w:val="Compact"/>
        <w:numPr>
          <w:ilvl w:val="0"/>
          <w:numId w:val="1005"/>
        </w:numPr>
      </w:pPr>
      <w:r>
        <w:t xml:space="preserve">Information des parents (courrier / réunion parents / ENT)</w:t>
      </w:r>
    </w:p>
    <w:p>
      <w:pPr>
        <w:pStyle w:val="Compact"/>
        <w:numPr>
          <w:ilvl w:val="0"/>
          <w:numId w:val="1006"/>
        </w:numPr>
      </w:pPr>
      <w:r>
        <w:t xml:space="preserve">Mention de l’utilisation de l’IA dans les évaluations</w:t>
      </w:r>
    </w:p>
    <w:p>
      <w:pPr>
        <w:pStyle w:val="Compact"/>
        <w:numPr>
          <w:ilvl w:val="0"/>
          <w:numId w:val="1007"/>
        </w:numPr>
      </w:pPr>
      <w:r>
        <w:t xml:space="preserve">Information sur les modèles IA utilisés (Gemini 2.5 Flash et Gemini 3.7 Flash, tous deux hébergés dans l’UE)</w:t>
      </w:r>
    </w:p>
    <w:p>
      <w:pPr>
        <w:pStyle w:val="Compact"/>
        <w:numPr>
          <w:ilvl w:val="0"/>
          <w:numId w:val="1008"/>
        </w:numPr>
      </w:pPr>
      <w:r>
        <w:t xml:space="preserve">Information sur le masquage de l’en-tête des copies avant envoi à l’IA</w:t>
      </w:r>
    </w:p>
    <w:p>
      <w:pPr>
        <w:pStyle w:val="Compact"/>
        <w:numPr>
          <w:ilvl w:val="0"/>
          <w:numId w:val="1009"/>
        </w:numPr>
      </w:pPr>
      <w:r>
        <w:t xml:space="preserve">Information sur le droit d’opposition des familles et ses modalités (demande auprès de l’enseignant ou du chef d’établissement, copies corrigées hors application)</w:t>
      </w:r>
    </w:p>
    <w:p>
      <w:pPr>
        <w:pStyle w:val="FirstParagraph"/>
      </w:pPr>
      <w:r>
        <w:rPr>
          <w:b/>
          <w:bCs/>
        </w:rPr>
        <w:t xml:space="preserve">Document d’information utilisé :</w:t>
      </w:r>
      <w:r>
        <w:t xml:space="preserve"> </w:t>
      </w:r>
      <w:r>
        <w:t xml:space="preserve">[À COMPLÉTER PAR L’ÉTABLISSEMENT]</w:t>
      </w:r>
    </w:p>
    <w:bookmarkEnd w:id="30"/>
    <w:bookmarkStart w:id="31" w:name="formation-des-utilisateurs"/>
    <w:p>
      <w:pPr>
        <w:pStyle w:val="Heading3"/>
      </w:pPr>
      <w:r>
        <w:t xml:space="preserve">5.2 Formation des utilisateurs</w:t>
      </w:r>
    </w:p>
    <w:p>
      <w:pPr>
        <w:pStyle w:val="FirstParagraph"/>
      </w:pPr>
      <w:r>
        <w:t xml:space="preserve">[À COMPLÉTER PAR L’ÉTABLISSEMENT]</w:t>
      </w:r>
    </w:p>
    <w:p>
      <w:pPr>
        <w:pStyle w:val="Compact"/>
        <w:numPr>
          <w:ilvl w:val="0"/>
          <w:numId w:val="1010"/>
        </w:numPr>
      </w:pPr>
      <w:r>
        <w:t xml:space="preserve">Formation des enseignants à l’utilisation d’EvalIA</w:t>
      </w:r>
    </w:p>
    <w:p>
      <w:pPr>
        <w:pStyle w:val="Compact"/>
        <w:numPr>
          <w:ilvl w:val="0"/>
          <w:numId w:val="1011"/>
        </w:numPr>
      </w:pPr>
      <w:r>
        <w:t xml:space="preserve">Sensibilisation à la vérification systématique des notes IA</w:t>
      </w:r>
    </w:p>
    <w:p>
      <w:pPr>
        <w:pStyle w:val="Compact"/>
        <w:numPr>
          <w:ilvl w:val="0"/>
          <w:numId w:val="1012"/>
        </w:numPr>
      </w:pPr>
      <w:r>
        <w:t xml:space="preserve">Consignes pour la protection des données élèves</w:t>
      </w:r>
    </w:p>
    <w:p>
      <w:pPr>
        <w:pStyle w:val="Compact"/>
        <w:numPr>
          <w:ilvl w:val="0"/>
          <w:numId w:val="1013"/>
        </w:numPr>
      </w:pPr>
      <w:r>
        <w:t xml:space="preserve">Information sur les limites du système IA</w:t>
      </w:r>
    </w:p>
    <w:bookmarkEnd w:id="31"/>
    <w:bookmarkStart w:id="32" w:name="procédure-de-gestion-des-incidents"/>
    <w:p>
      <w:pPr>
        <w:pStyle w:val="Heading3"/>
      </w:pPr>
      <w:r>
        <w:t xml:space="preserve">5.3 Procédure de gestion des incidents</w:t>
      </w:r>
    </w:p>
    <w:p>
      <w:pPr>
        <w:pStyle w:val="FirstParagraph"/>
      </w:pPr>
      <w:r>
        <w:t xml:space="preserve">[À COMPLÉTER PAR L’ÉTABLISSEMENT]</w:t>
      </w:r>
    </w:p>
    <w:p>
      <w:pPr>
        <w:pStyle w:val="BodyText"/>
      </w:pPr>
      <w:r>
        <w:rPr>
          <w:b/>
          <w:bCs/>
        </w:rPr>
        <w:t xml:space="preserve">Référent sécurité établissement :</w:t>
      </w:r>
      <w:r>
        <w:t xml:space="preserve"> </w:t>
      </w:r>
      <w:r>
        <w:t xml:space="preserve">_______________________________________________</w:t>
      </w:r>
    </w:p>
    <w:p>
      <w:pPr>
        <w:pStyle w:val="BodyText"/>
      </w:pPr>
      <w:r>
        <w:rPr>
          <w:b/>
          <w:bCs/>
        </w:rPr>
        <w:t xml:space="preserve">Procédure en cas de violation de données :</w:t>
      </w:r>
      <w:r>
        <w:t xml:space="preserve"> </w:t>
      </w:r>
      <w:r>
        <w:t xml:space="preserve">1. Notification immédiate à l’éditeur (contact.EvalIA@oriantation.fr)</w:t>
      </w:r>
      <w:r>
        <w:t xml:space="preserve"> </w:t>
      </w:r>
      <w:r>
        <w:t xml:space="preserve">2. Évaluation de la gravité avec le DPO académique</w:t>
      </w:r>
      <w:r>
        <w:t xml:space="preserve"> </w:t>
      </w:r>
      <w:r>
        <w:t xml:space="preserve">3. Notification CNIL sous 72h si risque élevé</w:t>
      </w:r>
      <w:r>
        <w:t xml:space="preserve"> </w:t>
      </w:r>
      <w:r>
        <w:t xml:space="preserve">4. Information des personnes concernées si nécessaire</w:t>
      </w:r>
    </w:p>
    <w:p>
      <w:pPr>
        <w:pStyle w:val="BodyText"/>
      </w:pPr>
      <w:r>
        <w:rPr>
          <w:i/>
          <w:iCs/>
        </w:rPr>
        <w:t xml:space="preserve">Côté éditeur : EvalIA dispose d’une procédure interne documentée de réponse aux incidents (détection, qualification, notification CNIL sous 72 h, information de l’établissement responsable de traitement sans délai indu, registre des violations), ainsi que de sauvegardes chiffrées avec restauration testée. Documents communicables sur demande.</w:t>
      </w:r>
    </w:p>
    <w:p>
      <w:r>
        <w:pict>
          <v:rect style="width:0;height:1.5pt" o:hralign="center" o:hrstd="t" o:hr="t"/>
        </w:pict>
      </w:r>
    </w:p>
    <w:bookmarkEnd w:id="32"/>
    <w:bookmarkEnd w:id="33"/>
    <w:bookmarkStart w:id="36" w:name="avis-du-dpo-académique"/>
    <w:p>
      <w:pPr>
        <w:pStyle w:val="Heading2"/>
      </w:pPr>
      <w:r>
        <w:t xml:space="preserve">6. Avis du DPO académique</w:t>
      </w:r>
    </w:p>
    <w:bookmarkStart w:id="34" w:name="avis"/>
    <w:p>
      <w:pPr>
        <w:pStyle w:val="Heading3"/>
      </w:pPr>
      <w:r>
        <w:t xml:space="preserve">6.1 Avis</w:t>
      </w:r>
    </w:p>
    <w:p>
      <w:pPr>
        <w:pStyle w:val="FirstParagraph"/>
      </w:pPr>
      <w:r>
        <w:t xml:space="preserve">[À COMPLÉTER PAR LE DPO ACADÉMIQUE]</w:t>
      </w:r>
    </w:p>
    <w:p>
      <w:pPr>
        <w:pStyle w:val="Compact"/>
        <w:numPr>
          <w:ilvl w:val="0"/>
          <w:numId w:val="1014"/>
        </w:numPr>
      </w:pPr>
      <w:r>
        <w:t xml:space="preserve">Favorable sans réserve</w:t>
      </w:r>
    </w:p>
    <w:p>
      <w:pPr>
        <w:pStyle w:val="Compact"/>
        <w:numPr>
          <w:ilvl w:val="0"/>
          <w:numId w:val="1015"/>
        </w:numPr>
      </w:pPr>
      <w:r>
        <w:t xml:space="preserve">Favorable avec réserves (détailler ci-dessous)</w:t>
      </w:r>
    </w:p>
    <w:p>
      <w:pPr>
        <w:pStyle w:val="Compact"/>
        <w:numPr>
          <w:ilvl w:val="0"/>
          <w:numId w:val="1016"/>
        </w:numPr>
      </w:pPr>
      <w:r>
        <w:t xml:space="preserve">Défavorable (détailler ci-dessous)</w:t>
      </w:r>
    </w:p>
    <w:p>
      <w:pPr>
        <w:pStyle w:val="FirstParagraph"/>
      </w:pPr>
      <w:r>
        <w:rPr>
          <w:b/>
          <w:bCs/>
        </w:rPr>
        <w:t xml:space="preserve">Observations :</w:t>
      </w:r>
    </w:p>
    <w:p>
      <w:r>
        <w:pict>
          <v:rect style="width:0;height:1.5pt" o:hralign="center" o:hrstd="t" o:hr="t"/>
        </w:pict>
      </w:r>
    </w:p>
    <w:p>
      <w:r>
        <w:pict>
          <v:rect style="width:0;height:1.5pt" o:hralign="center" o:hrstd="t" o:hr="t"/>
        </w:pict>
      </w:r>
    </w:p>
    <w:p>
      <w:r>
        <w:pict>
          <v:rect style="width:0;height:1.5pt" o:hralign="center" o:hrstd="t" o:hr="t"/>
        </w:pict>
      </w:r>
    </w:p>
    <w:bookmarkEnd w:id="34"/>
    <w:bookmarkStart w:id="35" w:name="recommandations"/>
    <w:p>
      <w:pPr>
        <w:pStyle w:val="Heading3"/>
      </w:pPr>
      <w:r>
        <w:t xml:space="preserve">6.2 Recommandations</w:t>
      </w:r>
    </w:p>
    <w:p>
      <w:pPr>
        <w:pStyle w:val="FirstParagraph"/>
      </w:pPr>
      <w:r>
        <w:t xml:space="preserve">[À COMPLÉTER PAR LE DPO ACADÉMIQUE]</w:t>
      </w:r>
    </w:p>
    <w:p>
      <w:r>
        <w:pict>
          <v:rect style="width:0;height:1.5pt" o:hralign="center" o:hrstd="t" o:hr="t"/>
        </w:pict>
      </w:r>
    </w:p>
    <w:p>
      <w:r>
        <w:pict>
          <v:rect style="width:0;height:1.5pt" o:hralign="center" o:hrstd="t" o:hr="t"/>
        </w:pict>
      </w:r>
    </w:p>
    <w:p>
      <w:r>
        <w:pict>
          <v:rect style="width:0;height:1.5pt" o:hralign="center" o:hrstd="t" o:hr="t"/>
        </w:pict>
      </w:r>
    </w:p>
    <w:bookmarkEnd w:id="35"/>
    <w:bookmarkEnd w:id="36"/>
    <w:bookmarkStart w:id="39" w:name="décision-du-responsable-de-traitement"/>
    <w:p>
      <w:pPr>
        <w:pStyle w:val="Heading2"/>
      </w:pPr>
      <w:r>
        <w:t xml:space="preserve">7. Décision du responsable de traitement</w:t>
      </w:r>
    </w:p>
    <w:bookmarkStart w:id="37" w:name="décision"/>
    <w:p>
      <w:pPr>
        <w:pStyle w:val="Heading3"/>
      </w:pPr>
      <w:r>
        <w:t xml:space="preserve">7.1 Décision</w:t>
      </w:r>
    </w:p>
    <w:p>
      <w:pPr>
        <w:pStyle w:val="FirstParagraph"/>
      </w:pPr>
      <w:r>
        <w:t xml:space="preserve">[À COMPLÉTER PAR LE CHEF D’ÉTABLISSEMENT]</w:t>
      </w:r>
    </w:p>
    <w:p>
      <w:pPr>
        <w:pStyle w:val="BodyText"/>
      </w:pPr>
      <w:r>
        <w:t xml:space="preserve">Après examen de la présente analyse d’impact et de l’avis du DPO académique :</w:t>
      </w:r>
    </w:p>
    <w:p>
      <w:pPr>
        <w:pStyle w:val="Compact"/>
        <w:numPr>
          <w:ilvl w:val="0"/>
          <w:numId w:val="1017"/>
        </w:numPr>
      </w:pPr>
      <w:r>
        <w:t xml:space="preserve">J’autorise le déploiement d’EvalIA dans l’établissement</w:t>
      </w:r>
    </w:p>
    <w:p>
      <w:pPr>
        <w:pStyle w:val="Compact"/>
        <w:numPr>
          <w:ilvl w:val="0"/>
          <w:numId w:val="1018"/>
        </w:numPr>
      </w:pPr>
      <w:r>
        <w:t xml:space="preserve">Je reporte le déploiement en attente de mesures complémentaires</w:t>
      </w:r>
    </w:p>
    <w:p>
      <w:pPr>
        <w:pStyle w:val="Compact"/>
        <w:numPr>
          <w:ilvl w:val="0"/>
          <w:numId w:val="1019"/>
        </w:numPr>
      </w:pPr>
      <w:r>
        <w:t xml:space="preserve">Je refuse le déploiement</w:t>
      </w:r>
    </w:p>
    <w:p>
      <w:pPr>
        <w:pStyle w:val="FirstParagraph"/>
      </w:pPr>
      <w:r>
        <w:rPr>
          <w:b/>
          <w:bCs/>
        </w:rPr>
        <w:t xml:space="preserve">Justification :</w:t>
      </w:r>
    </w:p>
    <w:p>
      <w:r>
        <w:pict>
          <v:rect style="width:0;height:1.5pt" o:hralign="center" o:hrstd="t" o:hr="t"/>
        </w:pict>
      </w:r>
    </w:p>
    <w:p>
      <w:r>
        <w:pict>
          <v:rect style="width:0;height:1.5pt" o:hralign="center" o:hrstd="t" o:hr="t"/>
        </w:pict>
      </w:r>
    </w:p>
    <w:bookmarkEnd w:id="37"/>
    <w:bookmarkStart w:id="38" w:name="inscription-au-registre"/>
    <w:p>
      <w:pPr>
        <w:pStyle w:val="Heading3"/>
      </w:pPr>
      <w:r>
        <w:t xml:space="preserve">7.2 Inscription au registre</w:t>
      </w:r>
    </w:p>
    <w:p>
      <w:pPr>
        <w:pStyle w:val="Compact"/>
        <w:numPr>
          <w:ilvl w:val="0"/>
          <w:numId w:val="1020"/>
        </w:numPr>
      </w:pPr>
      <w:r>
        <w:t xml:space="preserve">Traitement inscrit au registre des activités de traitement de l’établissement</w:t>
      </w:r>
    </w:p>
    <w:p>
      <w:pPr>
        <w:pStyle w:val="FirstParagraph"/>
      </w:pPr>
      <w:r>
        <w:rPr>
          <w:b/>
          <w:bCs/>
        </w:rPr>
        <w:t xml:space="preserve">Numéro de registre :</w:t>
      </w:r>
      <w:r>
        <w:t xml:space="preserve"> </w:t>
      </w:r>
      <w:r>
        <w:t xml:space="preserve">[À COMPLÉTER PAR L’ÉTABLISSEMENT]</w:t>
      </w:r>
    </w:p>
    <w:p>
      <w:r>
        <w:pict>
          <v:rect style="width:0;height:1.5pt" o:hralign="center" o:hrstd="t" o:hr="t"/>
        </w:pict>
      </w:r>
    </w:p>
    <w:bookmarkEnd w:id="38"/>
    <w:bookmarkEnd w:id="39"/>
    <w:bookmarkStart w:id="42" w:name="signatures"/>
    <w:p>
      <w:pPr>
        <w:pStyle w:val="Heading2"/>
      </w:pPr>
      <w:r>
        <w:t xml:space="preserve">8. Signatures</w:t>
      </w:r>
    </w:p>
    <w:bookmarkStart w:id="40" w:name="Xcf0a09317e7486ab620e0bf6fc433ec86463f77"/>
    <w:p>
      <w:pPr>
        <w:pStyle w:val="Heading3"/>
      </w:pPr>
      <w:r>
        <w:t xml:space="preserve">Chef d’établissement (Responsable de traitement)</w:t>
      </w:r>
    </w:p>
    <w:p>
      <w:pPr>
        <w:pStyle w:val="FirstParagraph"/>
      </w:pPr>
      <w:r>
        <w:rPr>
          <w:b/>
          <w:bCs/>
        </w:rPr>
        <w:t xml:space="preserve">Nom et prénom :</w:t>
      </w:r>
      <w:r>
        <w:t xml:space="preserve"> </w:t>
      </w:r>
      <w:r>
        <w:t xml:space="preserve">_______________________________________________</w:t>
      </w:r>
    </w:p>
    <w:p>
      <w:pPr>
        <w:pStyle w:val="BodyText"/>
      </w:pPr>
      <w:r>
        <w:rPr>
          <w:b/>
          <w:bCs/>
        </w:rPr>
        <w:t xml:space="preserve">Date :</w:t>
      </w:r>
      <w:r>
        <w:t xml:space="preserve"> </w:t>
      </w:r>
      <w:r>
        <w:t xml:space="preserve">_______________________________________________</w:t>
      </w:r>
    </w:p>
    <w:p>
      <w:pPr>
        <w:pStyle w:val="BodyText"/>
      </w:pPr>
      <w:r>
        <w:rPr>
          <w:b/>
          <w:bCs/>
        </w:rPr>
        <w:t xml:space="preserve">Signature :</w:t>
      </w:r>
    </w:p>
    <w:bookmarkEnd w:id="40"/>
    <w:bookmarkStart w:id="41" w:name="dpo-académique"/>
    <w:p>
      <w:pPr>
        <w:pStyle w:val="Heading3"/>
      </w:pPr>
      <w:r>
        <w:t xml:space="preserve">DPO académique</w:t>
      </w:r>
    </w:p>
    <w:p>
      <w:pPr>
        <w:pStyle w:val="FirstParagraph"/>
      </w:pPr>
      <w:r>
        <w:rPr>
          <w:b/>
          <w:bCs/>
        </w:rPr>
        <w:t xml:space="preserve">Nom et prénom :</w:t>
      </w:r>
      <w:r>
        <w:t xml:space="preserve"> </w:t>
      </w:r>
      <w:r>
        <w:t xml:space="preserve">_______________________________________________</w:t>
      </w:r>
    </w:p>
    <w:p>
      <w:pPr>
        <w:pStyle w:val="BodyText"/>
      </w:pPr>
      <w:r>
        <w:rPr>
          <w:b/>
          <w:bCs/>
        </w:rPr>
        <w:t xml:space="preserve">Date :</w:t>
      </w:r>
      <w:r>
        <w:t xml:space="preserve"> </w:t>
      </w:r>
      <w:r>
        <w:t xml:space="preserve">_______________________________________________</w:t>
      </w:r>
    </w:p>
    <w:p>
      <w:pPr>
        <w:pStyle w:val="BodyText"/>
      </w:pPr>
      <w:r>
        <w:rPr>
          <w:b/>
          <w:bCs/>
        </w:rPr>
        <w:t xml:space="preserve">Signature :</w:t>
      </w:r>
    </w:p>
    <w:p>
      <w:r>
        <w:pict>
          <v:rect style="width:0;height:1.5pt" o:hralign="center" o:hrstd="t" o:hr="t"/>
        </w:pict>
      </w:r>
    </w:p>
    <w:bookmarkEnd w:id="41"/>
    <w:bookmarkEnd w:id="42"/>
    <w:bookmarkStart w:id="46" w:name="annexes"/>
    <w:p>
      <w:pPr>
        <w:pStyle w:val="Heading2"/>
      </w:pPr>
      <w:r>
        <w:t xml:space="preserve">Annexes</w:t>
      </w:r>
    </w:p>
    <w:bookmarkStart w:id="43" w:name="annexe-a---documents-de-référence"/>
    <w:p>
      <w:pPr>
        <w:pStyle w:val="Heading3"/>
      </w:pPr>
      <w:r>
        <w:t xml:space="preserve">Annexe A - Documents de référence</w:t>
      </w:r>
    </w:p>
    <w:p>
      <w:pPr>
        <w:pStyle w:val="Compact"/>
        <w:numPr>
          <w:ilvl w:val="0"/>
          <w:numId w:val="1021"/>
        </w:numPr>
      </w:pPr>
      <w:r>
        <w:t xml:space="preserve">Accord de sous-traitance article 28 RGPD (signé avec EvalIA)</w:t>
      </w:r>
    </w:p>
    <w:p>
      <w:pPr>
        <w:pStyle w:val="Compact"/>
        <w:numPr>
          <w:ilvl w:val="0"/>
          <w:numId w:val="1021"/>
        </w:numPr>
      </w:pPr>
      <w:r>
        <w:t xml:space="preserve">Politique de confidentialité EvalIA (https://evalia.oriantation.fr/politique-confidentialite)</w:t>
      </w:r>
    </w:p>
    <w:p>
      <w:pPr>
        <w:pStyle w:val="Compact"/>
        <w:numPr>
          <w:ilvl w:val="0"/>
          <w:numId w:val="1021"/>
        </w:numPr>
      </w:pPr>
      <w:r>
        <w:t xml:space="preserve">Mentions légales et CGU (https://evalia.oriantation.fr/mentions-legales)</w:t>
      </w:r>
    </w:p>
    <w:p>
      <w:pPr>
        <w:pStyle w:val="Compact"/>
        <w:numPr>
          <w:ilvl w:val="0"/>
          <w:numId w:val="1021"/>
        </w:numPr>
      </w:pPr>
      <w:r>
        <w:t xml:space="preserve">AIPD complète de l’éditeur (version courante, disponible sur demande)</w:t>
      </w:r>
    </w:p>
    <w:p>
      <w:pPr>
        <w:pStyle w:val="Compact"/>
        <w:numPr>
          <w:ilvl w:val="0"/>
          <w:numId w:val="1021"/>
        </w:numPr>
      </w:pPr>
      <w:r>
        <w:t xml:space="preserve">Annexe AI Act EvalIA (v2.3, disponible sur demande)</w:t>
      </w:r>
    </w:p>
    <w:p>
      <w:pPr>
        <w:pStyle w:val="Compact"/>
        <w:numPr>
          <w:ilvl w:val="0"/>
          <w:numId w:val="1021"/>
        </w:numPr>
      </w:pPr>
      <w:r>
        <w:t xml:space="preserve">FAQ CNIL du 18 juin 2025, responsables de traitement : https://www.cnil.fr/fr/education-mise-en-place-systeme-ia</w:t>
      </w:r>
    </w:p>
    <w:p>
      <w:pPr>
        <w:pStyle w:val="Compact"/>
        <w:numPr>
          <w:ilvl w:val="0"/>
          <w:numId w:val="1021"/>
        </w:numPr>
      </w:pPr>
      <w:r>
        <w:t xml:space="preserve">FAQ CNIL du 18 juin 2025, enseignants : https://www.cnil.fr/fr/enseignant-usage-systeme-ia</w:t>
      </w:r>
    </w:p>
    <w:bookmarkEnd w:id="43"/>
    <w:bookmarkStart w:id="44" w:name="annexe-b---contact-éditeur"/>
    <w:p>
      <w:pPr>
        <w:pStyle w:val="Heading3"/>
      </w:pPr>
      <w:r>
        <w:t xml:space="preserve">Annexe B - Contact éditeur</w:t>
      </w:r>
    </w:p>
    <w:p>
      <w:pPr>
        <w:pStyle w:val="FirstParagraph"/>
      </w:pPr>
      <w:r>
        <w:rPr>
          <w:b/>
          <w:bCs/>
        </w:rPr>
        <w:t xml:space="preserve">EvalIA</w:t>
      </w:r>
    </w:p>
    <w:p>
      <w:pPr>
        <w:pStyle w:val="BodyText"/>
      </w:pPr>
      <w:r>
        <w:t xml:space="preserve">Thomas Cavil - Éditeur</w:t>
      </w:r>
    </w:p>
    <w:p>
      <w:pPr>
        <w:pStyle w:val="BodyText"/>
      </w:pPr>
      <w:r>
        <w:t xml:space="preserve">Email : contact.EvalIA@oriantation.fr</w:t>
      </w:r>
    </w:p>
    <w:p>
      <w:pPr>
        <w:pStyle w:val="BodyText"/>
      </w:pPr>
      <w:r>
        <w:t xml:space="preserve">Site : https://evalia.oriantation.fr</w:t>
      </w:r>
    </w:p>
    <w:bookmarkEnd w:id="44"/>
    <w:bookmarkStart w:id="45" w:name="annexe-c---historique-des-révisions"/>
    <w:p>
      <w:pPr>
        <w:pStyle w:val="Heading3"/>
      </w:pPr>
      <w:r>
        <w:t xml:space="preserve">Annexe C - Historique des révisions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Auteur</w:t>
            </w:r>
          </w:p>
        </w:tc>
        <w:tc>
          <w:tcPr/>
          <w:p>
            <w:pPr>
              <w:pStyle w:val="Compact"/>
            </w:pPr>
            <w:r>
              <w:t xml:space="preserve">Modifications</w:t>
            </w:r>
          </w:p>
        </w:tc>
      </w:tr>
      <w:tr>
        <w:tc>
          <w:tcPr/>
          <w:p>
            <w:pPr>
              <w:pStyle w:val="Compact"/>
            </w:pPr>
            <w:r>
              <w:t xml:space="preserve">1.0</w:t>
            </w:r>
          </w:p>
        </w:tc>
        <w:tc>
          <w:tcPr/>
          <w:p>
            <w:pPr>
              <w:pStyle w:val="Compact"/>
            </w:pPr>
            <w:r>
              <w:t xml:space="preserve">[DATE]</w:t>
            </w:r>
          </w:p>
        </w:tc>
        <w:tc>
          <w:tcPr/>
          <w:p>
            <w:pPr>
              <w:pStyle w:val="Compact"/>
            </w:pPr>
            <w:r>
              <w:t xml:space="preserve">[ÉTABLISSEMENT]</w:t>
            </w:r>
          </w:p>
        </w:tc>
        <w:tc>
          <w:tcPr/>
          <w:p>
            <w:pPr>
              <w:pStyle w:val="Compact"/>
            </w:pPr>
            <w:r>
              <w:t xml:space="preserve">Création initiale</w:t>
            </w:r>
          </w:p>
        </w:tc>
      </w:tr>
    </w:tbl>
    <w:p>
      <w:r>
        <w:pict>
          <v:rect style="width:0;height:1.5pt" o:hralign="center" o:hrstd="t" o:hr="t"/>
        </w:pict>
      </w:r>
    </w:p>
    <w:p>
      <w:pPr>
        <w:pStyle w:val="FirstParagraph"/>
      </w:pPr>
      <w:r>
        <w:rPr>
          <w:i/>
          <w:iCs/>
        </w:rPr>
        <w:t xml:space="preserve">Ce modèle a été préparé par EvalIA pour faciliter la conformité RGPD et Règlement IA des établissements scolaires. Il doit être adapté et validé par le responsable de traitement et le DPO académique.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1"/>
  </w:num>
  <w:num w:numId="1002">
    <w:abstractNumId w:val="991"/>
  </w:num>
  <w:num w:numId="1003">
    <w:abstractNumId w:val="992"/>
  </w:num>
  <w:num w:numId="1004">
    <w:abstractNumId w:val="992"/>
  </w:num>
  <w:num w:numId="1005">
    <w:abstractNumId w:val="992"/>
  </w:num>
  <w:num w:numId="1006">
    <w:abstractNumId w:val="992"/>
  </w:num>
  <w:num w:numId="1007">
    <w:abstractNumId w:val="992"/>
  </w:num>
  <w:num w:numId="1008">
    <w:abstractNumId w:val="992"/>
  </w:num>
  <w:num w:numId="1009">
    <w:abstractNumId w:val="992"/>
  </w:num>
  <w:num w:numId="1010">
    <w:abstractNumId w:val="992"/>
  </w:num>
  <w:num w:numId="1011">
    <w:abstractNumId w:val="992"/>
  </w:num>
  <w:num w:numId="1012">
    <w:abstractNumId w:val="992"/>
  </w:num>
  <w:num w:numId="1013">
    <w:abstractNumId w:val="992"/>
  </w:num>
  <w:num w:numId="1014">
    <w:abstractNumId w:val="992"/>
  </w:num>
  <w:num w:numId="1015">
    <w:abstractNumId w:val="992"/>
  </w:num>
  <w:num w:numId="1016">
    <w:abstractNumId w:val="992"/>
  </w:num>
  <w:num w:numId="1017">
    <w:abstractNumId w:val="992"/>
  </w:num>
  <w:num w:numId="1018">
    <w:abstractNumId w:val="992"/>
  </w:num>
  <w:num w:numId="1019">
    <w:abstractNumId w:val="992"/>
  </w:num>
  <w:num w:numId="1020">
    <w:abstractNumId w:val="992"/>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2026-09-15T19:52:33Z</dcterms:created>
  <dcterms:modified xsi:type="dcterms:W3CDTF">2026-09-15T19:52:33Z</dcterms:modified>
</cp:coreProperties>
</file>

<file path=docProps/custom.xml><?xml version="1.0" encoding="utf-8"?>
<Properties xmlns="http://schemas.openxmlformats.org/officeDocument/2006/custom-properties" xmlns:vt="http://schemas.openxmlformats.org/officeDocument/2006/docPropsVTypes"/>
</file>