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accord-de-sous-traitance-rgpd"/>
    <w:p>
      <w:pPr>
        <w:pStyle w:val="Heading1"/>
      </w:pPr>
      <w:r>
        <w:rPr>
          <w:lang w:val="fr-FR"/>
        </w:rPr>
        <w:t xml:space="preserve">Accord de Sous-Traitance RGPD</w:t>
      </w:r>
    </w:p>
    <w:bookmarkStart w:id="9" w:name="X52394724ace4cc5685ca0287527188153237291"/>
    <w:p>
      <w:pPr>
        <w:pStyle w:val="Heading2"/>
      </w:pPr>
      <w:r>
        <w:rPr>
          <w:lang w:val="fr-FR"/>
        </w:rPr>
        <w:t xml:space="preserve">Usage d’EvalIA par un ou plusieurs enseignants titulaires d’une licence individuelle</w:t>
      </w:r>
    </w:p>
    <w:p>
      <w:pPr>
        <w:pStyle w:val="FirstParagraph"/>
      </w:pPr>
      <w:r>
        <w:rPr>
          <w:b/>
          <w:bCs/>
          <w:lang w:val="fr-FR"/>
        </w:rPr>
        <w:t xml:space="preserve">Article 28 du Règlement (UE) 2016/679</w:t>
      </w:r>
    </w:p>
    <w:p>
      <w:pPr>
        <w:pStyle w:val="BodyText"/>
      </w:pPr>
      <w:r>
        <w:rPr>
          <w:lang w:val="fr-FR"/>
        </w:rPr>
        <w:t xml:space="preserve">Version 1.5 - 11 septembre 2026</w:t>
      </w:r>
    </w:p>
    <w:p>
      <w:r>
        <w:pict>
          <v:rect style="width:0;height:1.5pt" o:hralign="center" o:hrstd="t" o:hr="t"/>
        </w:pict>
      </w:r>
    </w:p>
    <w:bookmarkEnd w:id="9"/>
    <w:bookmarkStart w:id="10" w:name="préambule"/>
    <w:p>
      <w:pPr>
        <w:pStyle w:val="Heading2"/>
      </w:pPr>
      <w:r>
        <w:rPr>
          <w:lang w:val="fr-FR"/>
        </w:rPr>
        <w:t xml:space="preserve">Préambule</w:t>
      </w:r>
    </w:p>
    <w:p>
      <w:pPr>
        <w:pStyle w:val="FirstParagraph"/>
      </w:pPr>
      <w:r>
        <w:rPr>
          <w:lang w:val="fr-FR"/>
        </w:rPr>
        <w:t xml:space="preserve">Le présent accord est conclu en application de l’article 28 du Règlement (UE) 2016/679 du 27 avril 2016 (RGPD).</w:t>
      </w:r>
    </w:p>
    <w:p>
      <w:pPr>
        <w:pStyle w:val="BodyText"/>
      </w:pPr>
      <w:r>
        <w:rPr>
          <w:lang w:val="fr-FR"/>
        </w:rPr>
        <w:t xml:space="preserve">Il couvre le cas où un ou plusieurs enseignants de l’établissement utilisent le service EvalIA dans le cadre de leur mission d’enseignement, au moyen d’une</w:t>
      </w:r>
      <w:r>
        <w:rPr>
          <w:lang w:val="fr-FR"/>
        </w:rPr>
        <w:t xml:space="preserve"> </w:t>
      </w:r>
      <w:r>
        <w:rPr>
          <w:b/>
          <w:bCs/>
          <w:lang w:val="fr-FR"/>
        </w:rPr>
        <w:t xml:space="preserve">licence souscrite à titre individuel</w:t>
      </w:r>
      <w:r>
        <w:rPr>
          <w:lang w:val="fr-FR"/>
        </w:rPr>
        <w:t xml:space="preserve"> </w:t>
      </w:r>
      <w:r>
        <w:rPr>
          <w:lang w:val="fr-FR"/>
        </w:rPr>
        <w:t xml:space="preserve">(gratuite ou payante). La souscription de la licence par l’enseignant est</w:t>
      </w:r>
      <w:r>
        <w:rPr>
          <w:lang w:val="fr-FR"/>
        </w:rPr>
        <w:t xml:space="preserve"> </w:t>
      </w:r>
      <w:r>
        <w:rPr>
          <w:b/>
          <w:bCs/>
          <w:lang w:val="fr-FR"/>
        </w:rPr>
        <w:t xml:space="preserve">sans incidence sur la qualification des parties</w:t>
      </w:r>
      <w:r>
        <w:rPr>
          <w:lang w:val="fr-FR"/>
        </w:rPr>
        <w:t xml:space="preserve"> </w:t>
      </w:r>
      <w:r>
        <w:rPr>
          <w:lang w:val="fr-FR"/>
        </w:rPr>
        <w:t xml:space="preserve">: dès lors que le traitement porte sur des données d’élèves dans le cadre de la mission d’enseignement,</w:t>
      </w:r>
      <w:r>
        <w:rPr>
          <w:lang w:val="fr-FR"/>
        </w:rPr>
        <w:t xml:space="preserve"> </w:t>
      </w:r>
      <w:r>
        <w:rPr>
          <w:b/>
          <w:bCs/>
          <w:lang w:val="fr-FR"/>
        </w:rPr>
        <w:t xml:space="preserve">l’établissement est responsable de traitement</w:t>
      </w:r>
      <w:r>
        <w:rPr>
          <w:lang w:val="fr-FR"/>
        </w:rPr>
        <w:t xml:space="preserve"> </w:t>
      </w:r>
      <w:r>
        <w:rPr>
          <w:lang w:val="fr-FR"/>
        </w:rPr>
        <w:t xml:space="preserve">et l’éditeur du service agit en qualité de</w:t>
      </w:r>
      <w:r>
        <w:rPr>
          <w:lang w:val="fr-FR"/>
        </w:rPr>
        <w:t xml:space="preserve"> </w:t>
      </w:r>
      <w:r>
        <w:rPr>
          <w:b/>
          <w:bCs/>
          <w:lang w:val="fr-FR"/>
        </w:rPr>
        <w:t xml:space="preserve">sous-traitant</w:t>
      </w:r>
      <w:r>
        <w:rPr>
          <w:lang w:val="fr-FR"/>
        </w:rPr>
        <w:t xml:space="preserve">.</w:t>
      </w:r>
    </w:p>
    <w:p>
      <w:pPr>
        <w:pStyle w:val="BodyText"/>
      </w:pPr>
      <w:r>
        <w:rPr>
          <w:lang w:val="fr-FR"/>
        </w:rPr>
        <w:t xml:space="preserve">La signature du présent accord</w:t>
      </w:r>
      <w:r>
        <w:rPr>
          <w:lang w:val="fr-FR"/>
        </w:rPr>
        <w:t xml:space="preserve"> </w:t>
      </w:r>
      <w:r>
        <w:rPr>
          <w:b/>
          <w:bCs/>
          <w:lang w:val="fr-FR"/>
        </w:rPr>
        <w:t xml:space="preserve">n’emporte aucun engagement financier pour l’établissement</w:t>
      </w:r>
      <w:r>
        <w:rPr>
          <w:lang w:val="fr-FR"/>
        </w:rPr>
        <w:t xml:space="preserve">.</w:t>
      </w:r>
    </w:p>
    <w:p>
      <w:r>
        <w:pict>
          <v:rect style="width:0;height:1.5pt" o:hralign="center" o:hrstd="t" o:hr="t"/>
        </w:pict>
      </w:r>
    </w:p>
    <w:bookmarkEnd w:id="10"/>
    <w:bookmarkStart w:id="14" w:name="article-1---définition-des-parties"/>
    <w:p>
      <w:pPr>
        <w:pStyle w:val="Heading2"/>
      </w:pPr>
      <w:r>
        <w:rPr>
          <w:lang w:val="fr-FR"/>
        </w:rPr>
        <w:t xml:space="preserve">Article 1 - Définition des parties</w:t>
      </w:r>
    </w:p>
    <w:bookmarkStart w:id="11" w:name="le-responsable-de-traitement"/>
    <w:p>
      <w:pPr>
        <w:pStyle w:val="Heading3"/>
      </w:pPr>
      <w:r>
        <w:rPr>
          <w:lang w:val="fr-FR"/>
        </w:rPr>
        <w:t xml:space="preserve">LE RESPONSABLE DE TRAITEMENT</w:t>
      </w:r>
    </w:p>
    <w:p>
      <w:pPr>
        <w:pStyle w:val="FirstParagraph"/>
      </w:pPr>
      <w:r>
        <w:rPr>
          <w:lang w:val="fr-FR"/>
        </w:rPr>
        <w:t xml:space="preserve">L’établissement scolaire dont relèvent le ou les enseignants utilisateurs du service, représenté par son chef d’établissement.</w:t>
      </w:r>
    </w:p>
    <w:p>
      <w:pPr>
        <w:pStyle w:val="BodyText"/>
      </w:pPr>
      <w:r>
        <w:rPr>
          <w:b/>
          <w:bCs/>
          <w:lang w:val="fr-FR"/>
        </w:rPr>
        <w:t xml:space="preserve">Nom de l’établissement :</w:t>
      </w:r>
      <w:r>
        <w:rPr>
          <w:lang w:val="fr-FR"/>
        </w:rPr>
        <w:t xml:space="preserve"> </w:t>
      </w:r>
      <w:r>
        <w:rPr>
          <w:lang w:val="fr-FR"/>
        </w:rPr>
        <w:t xml:space="preserve">_______________________________________________</w:t>
      </w:r>
    </w:p>
    <w:p>
      <w:pPr>
        <w:pStyle w:val="BodyText"/>
      </w:pPr>
      <w:r>
        <w:rPr>
          <w:b/>
          <w:bCs/>
          <w:lang w:val="fr-FR"/>
        </w:rPr>
        <w:t xml:space="preserve">Adresse :</w:t>
      </w:r>
      <w:r>
        <w:rPr>
          <w:lang w:val="fr-FR"/>
        </w:rPr>
        <w:t xml:space="preserve"> </w:t>
      </w:r>
      <w:r>
        <w:rPr>
          <w:lang w:val="fr-FR"/>
        </w:rPr>
        <w:t xml:space="preserve">_______________________________________________</w:t>
      </w:r>
    </w:p>
    <w:p>
      <w:pPr>
        <w:pStyle w:val="BodyText"/>
      </w:pPr>
      <w:r>
        <w:rPr>
          <w:b/>
          <w:bCs/>
          <w:lang w:val="fr-FR"/>
        </w:rPr>
        <w:t xml:space="preserve">Code UAI :</w:t>
      </w:r>
      <w:r>
        <w:rPr>
          <w:lang w:val="fr-FR"/>
        </w:rPr>
        <w:t xml:space="preserve"> </w:t>
      </w:r>
      <w:r>
        <w:rPr>
          <w:lang w:val="fr-FR"/>
        </w:rPr>
        <w:t xml:space="preserve">_______________________________________________</w:t>
      </w:r>
    </w:p>
    <w:p>
      <w:pPr>
        <w:pStyle w:val="BodyText"/>
      </w:pPr>
      <w:r>
        <w:rPr>
          <w:b/>
          <w:bCs/>
          <w:lang w:val="fr-FR"/>
        </w:rPr>
        <w:t xml:space="preserve">Représenté par :</w:t>
      </w:r>
      <w:r>
        <w:rPr>
          <w:lang w:val="fr-FR"/>
        </w:rPr>
        <w:t xml:space="preserve"> </w:t>
      </w:r>
      <w:r>
        <w:rPr>
          <w:lang w:val="fr-FR"/>
        </w:rPr>
        <w:t xml:space="preserve">_______________________________________________</w:t>
      </w:r>
    </w:p>
    <w:p>
      <w:pPr>
        <w:pStyle w:val="BodyText"/>
      </w:pPr>
      <w:r>
        <w:rPr>
          <w:b/>
          <w:bCs/>
          <w:lang w:val="fr-FR"/>
        </w:rPr>
        <w:t xml:space="preserve">Fonction :</w:t>
      </w:r>
      <w:r>
        <w:rPr>
          <w:lang w:val="fr-FR"/>
        </w:rPr>
        <w:t xml:space="preserve"> </w:t>
      </w:r>
      <w:r>
        <w:rPr>
          <w:lang w:val="fr-FR"/>
        </w:rPr>
        <w:t xml:space="preserve">_______________________________________________</w:t>
      </w:r>
    </w:p>
    <w:p>
      <w:pPr>
        <w:pStyle w:val="BodyText"/>
      </w:pPr>
      <w:r>
        <w:rPr>
          <w:b/>
          <w:bCs/>
          <w:lang w:val="fr-FR"/>
        </w:rPr>
        <w:t xml:space="preserve">Email :</w:t>
      </w:r>
      <w:r>
        <w:rPr>
          <w:lang w:val="fr-FR"/>
        </w:rPr>
        <w:t xml:space="preserve"> </w:t>
      </w:r>
      <w:r>
        <w:rPr>
          <w:lang w:val="fr-FR"/>
        </w:rPr>
        <w:t xml:space="preserve">_______________________________________________</w:t>
      </w:r>
    </w:p>
    <w:bookmarkEnd w:id="11"/>
    <w:bookmarkStart w:id="12" w:name="le-sous-traitant"/>
    <w:p>
      <w:pPr>
        <w:pStyle w:val="Heading3"/>
      </w:pPr>
      <w:r>
        <w:rPr>
          <w:lang w:val="fr-FR"/>
        </w:rPr>
        <w:t xml:space="preserve">LE SOUS-TRAITANT</w:t>
      </w:r>
    </w:p>
    <w:p>
      <w:pPr>
        <w:pStyle w:val="FirstParagraph"/>
      </w:pPr>
      <w:r>
        <w:rPr>
          <w:b/>
          <w:bCs/>
          <w:lang w:val="fr-FR"/>
        </w:rPr>
        <w:t xml:space="preserve">Thomas Cavil</w:t>
      </w:r>
      <w:r>
        <w:rPr>
          <w:lang w:val="fr-FR"/>
        </w:rPr>
        <w:t xml:space="preserve">, éditeur et développeur du service EvalIA</w:t>
      </w:r>
    </w:p>
    <w:p>
      <w:pPr>
        <w:pStyle w:val="BodyText"/>
      </w:pPr>
      <w:r>
        <w:rPr>
          <w:lang w:val="fr-FR"/>
        </w:rPr>
        <w:t xml:space="preserve">Entrepreneur individuel, SIREN 904 625 191, 14 rue Traversière, 56690 Landévant</w:t>
      </w:r>
    </w:p>
    <w:p>
      <w:pPr>
        <w:pStyle w:val="BodyText"/>
      </w:pPr>
      <w:r>
        <w:rPr>
          <w:lang w:val="fr-FR"/>
        </w:rPr>
        <w:t xml:space="preserve">Contact : contact.EvalIA@oriantation.fr</w:t>
      </w:r>
    </w:p>
    <w:p>
      <w:pPr>
        <w:pStyle w:val="BodyText"/>
      </w:pPr>
      <w:r>
        <w:rPr>
          <w:lang w:val="fr-FR"/>
        </w:rPr>
        <w:t xml:space="preserve">Site : https://evalia.oriantation.fr</w:t>
      </w:r>
    </w:p>
    <w:p>
      <w:pPr>
        <w:pStyle w:val="BodyText"/>
      </w:pPr>
      <w:r>
        <w:rPr>
          <w:lang w:val="fr-FR"/>
        </w:rPr>
        <w:t xml:space="preserve">Ci-après dénommés ensemble « les Parties ».</w:t>
      </w:r>
    </w:p>
    <w:bookmarkEnd w:id="12"/>
    <w:bookmarkStart w:id="13" w:name="les-enseignants-utilisateurs"/>
    <w:p>
      <w:pPr>
        <w:pStyle w:val="Heading3"/>
      </w:pPr>
      <w:r>
        <w:rPr>
          <w:lang w:val="fr-FR"/>
        </w:rPr>
        <w:t xml:space="preserve">LES ENSEIGNANTS UTILISATEURS</w:t>
      </w:r>
    </w:p>
    <w:p>
      <w:pPr>
        <w:pStyle w:val="FirstParagraph"/>
      </w:pPr>
      <w:r>
        <w:rPr>
          <w:lang w:val="fr-FR"/>
        </w:rPr>
        <w:t xml:space="preserve">Les enseignants de l’établissement autorisés à utiliser le service sont listés en</w:t>
      </w:r>
      <w:r>
        <w:rPr>
          <w:lang w:val="fr-FR"/>
        </w:rPr>
        <w:t xml:space="preserve"> </w:t>
      </w:r>
      <w:r>
        <w:rPr>
          <w:b/>
          <w:bCs/>
          <w:lang w:val="fr-FR"/>
        </w:rPr>
        <w:t xml:space="preserve">Annexe C</w:t>
      </w:r>
      <w:r>
        <w:rPr>
          <w:lang w:val="fr-FR"/>
        </w:rPr>
        <w:t xml:space="preserve">. Ils agissent pour le compte du Responsable de traitement dans le cadre de leur mission d’enseignement. Les instructions du Responsable de traitement au Sous-traitant sont réputées transmises par leur intermédiaire dans le cadre de l’utilisation normale du service.</w:t>
      </w:r>
    </w:p>
    <w:p>
      <w:r>
        <w:pict>
          <v:rect style="width:0;height:1.5pt" o:hralign="center" o:hrstd="t" o:hr="t"/>
        </w:pict>
      </w:r>
    </w:p>
    <w:bookmarkEnd w:id="13"/>
    <w:bookmarkEnd w:id="14"/>
    <w:bookmarkStart w:id="20" w:name="article-2---objet-du-traitement"/>
    <w:p>
      <w:pPr>
        <w:pStyle w:val="Heading2"/>
      </w:pPr>
      <w:r>
        <w:rPr>
          <w:lang w:val="fr-FR"/>
        </w:rPr>
        <w:t xml:space="preserve">Article 2 - Objet du traitement</w:t>
      </w:r>
    </w:p>
    <w:bookmarkStart w:id="15" w:name="nature-et-finalité-du-traitement"/>
    <w:p>
      <w:pPr>
        <w:pStyle w:val="Heading3"/>
      </w:pPr>
      <w:r>
        <w:rPr>
          <w:lang w:val="fr-FR"/>
        </w:rPr>
        <w:t xml:space="preserve">2.1 Nature et finalité du traitement</w:t>
      </w:r>
    </w:p>
    <w:p>
      <w:pPr>
        <w:pStyle w:val="FirstParagraph"/>
      </w:pPr>
      <w:r>
        <w:rPr>
          <w:lang w:val="fr-FR"/>
        </w:rPr>
        <w:t xml:space="preserve">Le Sous-traitant est autorisé à traiter pour le compte du Responsable de traitement les données à caractère personnel nécessaires au fonctionnement du service EvalIA, application d’aide à l’évaluation pédagogique multi-disciplines utilisant l’intelligence artificielle.</w:t>
      </w:r>
    </w:p>
    <w:bookmarkEnd w:id="15"/>
    <w:bookmarkStart w:id="16" w:name="finalités"/>
    <w:p>
      <w:pPr>
        <w:pStyle w:val="Heading3"/>
      </w:pPr>
      <w:r>
        <w:rPr>
          <w:lang w:val="fr-FR"/>
        </w:rPr>
        <w:t xml:space="preserve">2.2 Finalités</w:t>
      </w:r>
    </w:p>
    <w:p>
      <w:pPr>
        <w:pStyle w:val="Compact"/>
        <w:numPr>
          <w:ilvl w:val="0"/>
          <w:numId w:val="1001"/>
        </w:numPr>
      </w:pPr>
      <w:r>
        <w:rPr>
          <w:lang w:val="fr-FR"/>
        </w:rPr>
        <w:t xml:space="preserve">Fournir un service d’évaluation et de correction assistée par IA aux enseignants utilisateurs</w:t>
      </w:r>
    </w:p>
    <w:p>
      <w:pPr>
        <w:pStyle w:val="Compact"/>
        <w:numPr>
          <w:ilvl w:val="0"/>
          <w:numId w:val="1001"/>
        </w:numPr>
      </w:pPr>
      <w:r>
        <w:rPr>
          <w:lang w:val="fr-FR"/>
        </w:rPr>
        <w:t xml:space="preserve">Permettre la génération de barèmes d’évaluation à partir de sujets d’examen</w:t>
      </w:r>
    </w:p>
    <w:p>
      <w:pPr>
        <w:pStyle w:val="Compact"/>
        <w:numPr>
          <w:ilvl w:val="0"/>
          <w:numId w:val="1001"/>
        </w:numPr>
      </w:pPr>
      <w:r>
        <w:rPr>
          <w:lang w:val="fr-FR"/>
        </w:rPr>
        <w:t xml:space="preserve">Permettre l’analyse de copies d’élèves avec notation par compétences (D/A/PA/NA)</w:t>
      </w:r>
    </w:p>
    <w:p>
      <w:pPr>
        <w:pStyle w:val="Compact"/>
        <w:numPr>
          <w:ilvl w:val="0"/>
          <w:numId w:val="1001"/>
        </w:numPr>
      </w:pPr>
      <w:r>
        <w:rPr>
          <w:lang w:val="fr-FR"/>
        </w:rPr>
        <w:t xml:space="preserve">Permettre la création de contenus pédagogiques (exercices interactifs, documents, visuels) via TeacherStudio</w:t>
      </w:r>
    </w:p>
    <w:p>
      <w:pPr>
        <w:pStyle w:val="Compact"/>
        <w:numPr>
          <w:ilvl w:val="0"/>
          <w:numId w:val="1001"/>
        </w:numPr>
      </w:pPr>
      <w:r>
        <w:rPr>
          <w:lang w:val="fr-FR"/>
        </w:rPr>
        <w:t xml:space="preserve">Permettre la distribution d’exercices, de ressources et de plans de travail aux élèves</w:t>
      </w:r>
    </w:p>
    <w:p>
      <w:pPr>
        <w:pStyle w:val="Compact"/>
        <w:numPr>
          <w:ilvl w:val="0"/>
          <w:numId w:val="1001"/>
        </w:numPr>
      </w:pPr>
      <w:r>
        <w:rPr>
          <w:lang w:val="fr-FR"/>
        </w:rPr>
        <w:t xml:space="preserve">Générer des parcours de remédiation personnalisés par IA</w:t>
      </w:r>
    </w:p>
    <w:p>
      <w:pPr>
        <w:pStyle w:val="Compact"/>
        <w:numPr>
          <w:ilvl w:val="0"/>
          <w:numId w:val="1001"/>
        </w:numPr>
      </w:pPr>
      <w:r>
        <w:rPr>
          <w:lang w:val="fr-FR"/>
        </w:rPr>
        <w:t xml:space="preserve">Assurer la gestion des classes et le suivi longitudinal des élèves</w:t>
      </w:r>
    </w:p>
    <w:p>
      <w:pPr>
        <w:pStyle w:val="Compact"/>
        <w:numPr>
          <w:ilvl w:val="0"/>
          <w:numId w:val="1001"/>
        </w:numPr>
      </w:pPr>
      <w:r>
        <w:rPr>
          <w:lang w:val="fr-FR"/>
        </w:rPr>
        <w:t xml:space="preserve">Assurer la supervision de la qualité du service : détection des corrections défaillantes, re-analyse de contrôle, réparation et re-crédit, au bénéfice de l’enseignant concerné</w:t>
      </w:r>
    </w:p>
    <w:bookmarkEnd w:id="16"/>
    <w:bookmarkStart w:id="17" w:name="base-légale"/>
    <w:p>
      <w:pPr>
        <w:pStyle w:val="Heading3"/>
      </w:pPr>
      <w:r>
        <w:rPr>
          <w:lang w:val="fr-FR"/>
        </w:rPr>
        <w:t xml:space="preserve">2.3 Base légale</w:t>
      </w:r>
    </w:p>
    <w:p>
      <w:pPr>
        <w:pStyle w:val="FirstParagraph"/>
      </w:pPr>
      <w:r>
        <w:rPr>
          <w:lang w:val="fr-FR"/>
        </w:rPr>
        <w:t xml:space="preserve">Pour un établissement public, le traitement des données d’élèves repose sur la</w:t>
      </w:r>
      <w:r>
        <w:rPr>
          <w:lang w:val="fr-FR"/>
        </w:rPr>
        <w:t xml:space="preserve"> </w:t>
      </w:r>
      <w:r>
        <w:rPr>
          <w:b/>
          <w:bCs/>
          <w:lang w:val="fr-FR"/>
        </w:rPr>
        <w:t xml:space="preserve">mission d’intérêt public</w:t>
      </w:r>
      <w:r>
        <w:rPr>
          <w:lang w:val="fr-FR"/>
        </w:rPr>
        <w:t xml:space="preserve"> </w:t>
      </w:r>
      <w:r>
        <w:rPr>
          <w:lang w:val="fr-FR"/>
        </w:rPr>
        <w:t xml:space="preserve">dont est investi l’établissement (article 6.1.e du RGPD). Pour un établissement privé, il repose sur l’intérêt légitime attaché à la mission d’enseignement (article 6.1.f).</w:t>
      </w:r>
    </w:p>
    <w:bookmarkEnd w:id="17"/>
    <w:bookmarkStart w:id="18" w:name="durée-du-traitement"/>
    <w:p>
      <w:pPr>
        <w:pStyle w:val="Heading3"/>
      </w:pPr>
      <w:r>
        <w:rPr>
          <w:lang w:val="fr-FR"/>
        </w:rPr>
        <w:t xml:space="preserve">2.4 Durée du traitement</w:t>
      </w:r>
    </w:p>
    <w:p>
      <w:pPr>
        <w:pStyle w:val="FirstParagraph"/>
      </w:pPr>
      <w:r>
        <w:rPr>
          <w:lang w:val="fr-FR"/>
        </w:rPr>
        <w:t xml:space="preserve">Le traitement est effectué tant qu’au moins un enseignant listé en Annexe C utilise le service, puis pour la durée de conservation définie à l’article 7. Chaque Partie peut mettre fin au présent accord dans les conditions de l’article 8.</w:t>
      </w:r>
    </w:p>
    <w:bookmarkEnd w:id="18"/>
    <w:bookmarkStart w:id="19" w:name="données-hors-périmètre-du-présent-accord"/>
    <w:p>
      <w:pPr>
        <w:pStyle w:val="Heading3"/>
      </w:pPr>
      <w:r>
        <w:rPr>
          <w:lang w:val="fr-FR"/>
        </w:rPr>
        <w:t xml:space="preserve">2.5 Données hors périmètre du présent accord</w:t>
      </w:r>
    </w:p>
    <w:p>
      <w:pPr>
        <w:pStyle w:val="FirstParagraph"/>
      </w:pPr>
      <w:r>
        <w:rPr>
          <w:lang w:val="fr-FR"/>
        </w:rPr>
        <w:t xml:space="preserve">Les données de compte et d’abonnement de l’enseignant (email, mot de passe, données de facturation) sont traitées par l’éditeur</w:t>
      </w:r>
      <w:r>
        <w:rPr>
          <w:lang w:val="fr-FR"/>
        </w:rPr>
        <w:t xml:space="preserve"> </w:t>
      </w:r>
      <w:r>
        <w:rPr>
          <w:b/>
          <w:bCs/>
          <w:lang w:val="fr-FR"/>
        </w:rPr>
        <w:t xml:space="preserve">en qualité de responsable de traitement</w:t>
      </w:r>
      <w:r>
        <w:rPr>
          <w:lang w:val="fr-FR"/>
        </w:rPr>
        <w:t xml:space="preserve">, dans le cadre du contrat qui le lie directement à l’enseignant. Elles sont couvertes par la politique de confidentialité du service (https://evalia.oriantation.fr/politique-confidentialite) et ne relèvent pas du présent accord.</w:t>
      </w:r>
    </w:p>
    <w:p>
      <w:r>
        <w:pict>
          <v:rect style="width:0;height:1.5pt" o:hralign="center" o:hrstd="t" o:hr="t"/>
        </w:pict>
      </w:r>
    </w:p>
    <w:bookmarkEnd w:id="19"/>
    <w:bookmarkEnd w:id="20"/>
    <w:bookmarkStart w:id="22" w:name="X625e65977d3ce2a3ced9b24105c269df4722acb"/>
    <w:p>
      <w:pPr>
        <w:pStyle w:val="Heading2"/>
      </w:pPr>
      <w:r>
        <w:rPr>
          <w:lang w:val="fr-FR"/>
        </w:rPr>
        <w:t xml:space="preserve">Article 3 - Catégories de données traitées</w:t>
      </w:r>
    </w:p>
    <w:tbl>
      <w:tblPr>
        <w:tblStyle w:val="Table"/>
        <w:tblW w:type="dxa" w:w="9638"/>
        <w:tblLayout w:type="fixed"/>
        <w:tblLook w:firstRow="1" w:lastRow="0" w:firstColumn="0" w:lastColumn="0" w:noHBand="0" w:noVBand="0" w:val="0020"/>
      </w:tblPr>
      <w:tblGrid>
        <w:gridCol w:w="2083"/>
        <w:gridCol w:w="4300"/>
        <w:gridCol w:w="3253"/>
      </w:tblGrid>
      <w:tr>
        <w:trPr>
          <w:tblHeader w:val="on"/>
        </w:trPr>
        <w:tc>
          <w:tcPr>
            <w:shd w:val="clear" w:color="auto" w:fill="0891B2"/>
            <w:tcW w:type="dxa" w:w="2083"/>
          </w:tcPr>
          <w:tcPr/>
          <w:p>
            <w:pPr>
              <w:pStyle w:val="Compact"/>
            </w:pPr>
            <w:r>
              <w:rPr>
                <w:b/>
                <w:color w:val="FFFFFF"/>
                <w:lang w:val="fr-FR"/>
              </w:rPr>
              <w:t xml:space="preserve">Catégorie</w:t>
            </w:r>
          </w:p>
        </w:tc>
        <w:tc>
          <w:tcPr>
            <w:shd w:val="clear" w:color="auto" w:fill="0891B2"/>
            <w:tcW w:type="dxa" w:w="4300"/>
          </w:tcPr>
          <w:tcPr/>
          <w:p>
            <w:pPr>
              <w:pStyle w:val="Compact"/>
            </w:pPr>
            <w:r>
              <w:rPr>
                <w:b/>
                <w:color w:val="FFFFFF"/>
                <w:lang w:val="fr-FR"/>
              </w:rPr>
              <w:t xml:space="preserve">Données concernées</w:t>
            </w:r>
          </w:p>
        </w:tc>
        <w:tc>
          <w:tcPr>
            <w:shd w:val="clear" w:color="auto" w:fill="0891B2"/>
            <w:tcW w:type="dxa" w:w="3253"/>
          </w:tcPr>
          <w:tcPr/>
          <w:p>
            <w:pPr>
              <w:pStyle w:val="Compact"/>
            </w:pPr>
            <w:r>
              <w:rPr>
                <w:b/>
                <w:color w:val="FFFFFF"/>
                <w:lang w:val="fr-FR"/>
              </w:rPr>
              <w:t xml:space="preserve">Sensibilité</w:t>
            </w:r>
          </w:p>
        </w:tc>
      </w:tr>
      <w:tr>
        <w:tc>
          <w:tcPr>
            <w:tcW w:type="dxa" w:w="2083"/>
          </w:tcPr>
          <w:tcPr/>
          <w:p>
            <w:pPr>
              <w:pStyle w:val="Compact"/>
            </w:pPr>
            <w:r>
              <w:rPr>
                <w:b/>
                <w:bCs/>
                <w:lang w:val="fr-FR"/>
              </w:rPr>
              <w:t xml:space="preserve">Barèmes</w:t>
            </w:r>
          </w:p>
        </w:tc>
        <w:tc>
          <w:tcPr>
            <w:tcW w:type="dxa" w:w="4300"/>
          </w:tcPr>
          <w:tcPr/>
          <w:p>
            <w:pPr>
              <w:pStyle w:val="Compact"/>
            </w:pPr>
            <w:r>
              <w:rPr>
                <w:lang w:val="fr-FR"/>
              </w:rPr>
              <w:t xml:space="preserve">Sujets d’examen, critères d’évaluation</w:t>
            </w:r>
          </w:p>
        </w:tc>
        <w:tc>
          <w:tcPr>
            <w:tcW w:type="dxa" w:w="3253"/>
          </w:tcPr>
          <w:tcPr/>
          <w:p>
            <w:pPr>
              <w:pStyle w:val="Compact"/>
            </w:pPr>
            <w:r>
              <w:rPr>
                <w:lang w:val="fr-FR"/>
              </w:rPr>
              <w:t xml:space="preserve">Standard</w:t>
            </w:r>
          </w:p>
        </w:tc>
      </w:tr>
      <w:tr>
        <w:tc>
          <w:tcPr>
            <w:tcW w:type="dxa" w:w="2083"/>
          </w:tcPr>
          <w:tcPr/>
          <w:p>
            <w:pPr>
              <w:pStyle w:val="Compact"/>
            </w:pPr>
            <w:r>
              <w:rPr>
                <w:b/>
                <w:bCs/>
                <w:lang w:val="fr-FR"/>
              </w:rPr>
              <w:t xml:space="preserve">Copies d’élèves</w:t>
            </w:r>
            <w:r>
              <w:rPr>
                <w:lang w:val="fr-FR"/>
              </w:rPr>
              <w:t xml:space="preserve"> </w:t>
            </w:r>
            <w:r>
              <w:rPr>
                <w:lang w:val="fr-FR"/>
              </w:rPr>
              <w:t xml:space="preserve">(correction)</w:t>
            </w:r>
          </w:p>
        </w:tc>
        <w:tc>
          <w:tcPr>
            <w:tcW w:type="dxa" w:w="4300"/>
          </w:tcPr>
          <w:tcPr/>
          <w:p>
            <w:pPr>
              <w:pStyle w:val="Compact"/>
            </w:pPr>
            <w:r>
              <w:rPr>
                <w:lang w:val="fr-FR"/>
              </w:rPr>
              <w:t xml:space="preserve">Original de la copie (image/PDF)</w:t>
            </w:r>
          </w:p>
        </w:tc>
        <w:tc>
          <w:tcPr>
            <w:tcW w:type="dxa" w:w="3253"/>
          </w:tcPr>
          <w:tcPr/>
          <w:p>
            <w:pPr>
              <w:pStyle w:val="Compact"/>
            </w:pPr>
            <w:r>
              <w:rPr>
                <w:b/>
                <w:bCs/>
                <w:lang w:val="fr-FR"/>
              </w:rPr>
              <w:t xml:space="preserve">Conservé 30 jours après sa correction</w:t>
            </w:r>
            <w:r>
              <w:rPr>
                <w:lang w:val="fr-FR"/>
              </w:rPr>
              <w:t xml:space="preserve"> </w:t>
            </w:r>
            <w:r>
              <w:rPr>
                <w:lang w:val="fr-FR"/>
              </w:rPr>
              <w:t xml:space="preserve">(et au plus tard le 31 août), UE, accès strictement contrôlé, suppression automatique. En-tête (nom) masqué avant l’IA</w:t>
            </w:r>
          </w:p>
        </w:tc>
      </w:tr>
      <w:tr>
        <w:tc>
          <w:tcPr>
            <w:tcW w:type="dxa" w:w="2083"/>
          </w:tcPr>
          <w:tcPr/>
          <w:p>
            <w:pPr>
              <w:pStyle w:val="Compact"/>
            </w:pPr>
            <w:r>
              <w:rPr>
                <w:b/>
                <w:bCs/>
                <w:lang w:val="fr-FR"/>
              </w:rPr>
              <w:t xml:space="preserve">Copies d’élèves</w:t>
            </w:r>
            <w:r>
              <w:rPr>
                <w:lang w:val="fr-FR"/>
              </w:rPr>
              <w:t xml:space="preserve"> </w:t>
            </w:r>
            <w:r>
              <w:rPr>
                <w:lang w:val="fr-FR"/>
              </w:rPr>
              <w:t xml:space="preserve">(dépôts)</w:t>
            </w:r>
          </w:p>
        </w:tc>
        <w:tc>
          <w:tcPr>
            <w:tcW w:type="dxa" w:w="4300"/>
          </w:tcPr>
          <w:tcPr/>
          <w:p>
            <w:pPr>
              <w:pStyle w:val="Compact"/>
            </w:pPr>
            <w:r>
              <w:rPr>
                <w:lang w:val="fr-FR"/>
              </w:rPr>
              <w:t xml:space="preserve">Fichiers déposés par les élèves via un lien sécurisé</w:t>
            </w:r>
          </w:p>
        </w:tc>
        <w:tc>
          <w:tcPr>
            <w:tcW w:type="dxa" w:w="3253"/>
          </w:tcPr>
          <w:tcPr/>
          <w:p>
            <w:pPr>
              <w:pStyle w:val="Compact"/>
            </w:pPr>
            <w:r>
              <w:rPr>
                <w:b/>
                <w:bCs/>
                <w:lang w:val="fr-FR"/>
              </w:rPr>
              <w:t xml:space="preserve">Temporaire</w:t>
            </w:r>
            <w:r>
              <w:rPr>
                <w:lang w:val="fr-FR"/>
              </w:rPr>
              <w:t xml:space="preserve"> </w:t>
            </w:r>
            <w:r>
              <w:rPr>
                <w:lang w:val="fr-FR"/>
              </w:rPr>
              <w:t xml:space="preserve">(supprimé 30 jours après la correction)</w:t>
            </w:r>
          </w:p>
        </w:tc>
      </w:tr>
      <w:tr>
        <w:tc>
          <w:tcPr>
            <w:tcW w:type="dxa" w:w="2083"/>
          </w:tcPr>
          <w:tcPr/>
          <w:p>
            <w:pPr>
              <w:pStyle w:val="Compact"/>
            </w:pPr>
            <w:r>
              <w:rPr>
                <w:b/>
                <w:bCs/>
                <w:lang w:val="fr-FR"/>
              </w:rPr>
              <w:t xml:space="preserve">Corrections</w:t>
            </w:r>
          </w:p>
        </w:tc>
        <w:tc>
          <w:tcPr>
            <w:tcW w:type="dxa" w:w="4300"/>
          </w:tcPr>
          <w:tcPr/>
          <w:p>
            <w:pPr>
              <w:pStyle w:val="Compact"/>
            </w:pPr>
            <w:r>
              <w:rPr>
                <w:lang w:val="fr-FR"/>
              </w:rPr>
              <w:t xml:space="preserve">Notes, commentaires IA, feedback</w:t>
            </w:r>
          </w:p>
        </w:tc>
        <w:tc>
          <w:tcPr>
            <w:tcW w:type="dxa" w:w="3253"/>
          </w:tcPr>
          <w:tcPr/>
          <w:p>
            <w:pPr>
              <w:pStyle w:val="Compact"/>
            </w:pPr>
            <w:r>
              <w:rPr>
                <w:lang w:val="fr-FR"/>
              </w:rPr>
              <w:t xml:space="preserve">Standard</w:t>
            </w:r>
          </w:p>
        </w:tc>
      </w:tr>
      <w:tr>
        <w:tc>
          <w:tcPr>
            <w:tcW w:type="dxa" w:w="2083"/>
          </w:tcPr>
          <w:tcPr/>
          <w:p>
            <w:pPr>
              <w:pStyle w:val="Compact"/>
            </w:pPr>
            <w:r>
              <w:rPr>
                <w:b/>
                <w:bCs/>
                <w:lang w:val="fr-FR"/>
              </w:rPr>
              <w:t xml:space="preserve">Noms et prénoms élèves</w:t>
            </w:r>
          </w:p>
        </w:tc>
        <w:tc>
          <w:tcPr>
            <w:tcW w:type="dxa" w:w="4300"/>
          </w:tcPr>
          <w:tcPr/>
          <w:p>
            <w:pPr>
              <w:pStyle w:val="Compact"/>
            </w:pPr>
            <w:r>
              <w:rPr>
                <w:lang w:val="fr-FR"/>
              </w:rPr>
              <w:t xml:space="preserve">Noms saisis par l’enseignant (suivi, corrections) ; prénoms utilisés par le canal élève (connexion au portfolio, dépôt de copies)</w:t>
            </w:r>
          </w:p>
        </w:tc>
        <w:tc>
          <w:tcPr>
            <w:tcW w:type="dxa" w:w="3253"/>
          </w:tcPr>
          <w:tcPr/>
          <w:p>
            <w:pPr>
              <w:pStyle w:val="Compact"/>
            </w:pPr>
            <w:r>
              <w:rPr>
                <w:b/>
                <w:bCs/>
                <w:lang w:val="fr-FR"/>
              </w:rPr>
              <w:t xml:space="preserve">Chiffrés en base</w:t>
            </w:r>
            <w:r>
              <w:rPr>
                <w:lang w:val="fr-FR"/>
              </w:rPr>
              <w:t xml:space="preserve">, selon deux modèles distincts (voir précisions ci-dessous)</w:t>
            </w:r>
          </w:p>
        </w:tc>
      </w:tr>
      <w:tr>
        <w:tc>
          <w:tcPr>
            <w:tcW w:type="dxa" w:w="2083"/>
          </w:tcPr>
          <w:tcPr/>
          <w:p>
            <w:pPr>
              <w:pStyle w:val="Compact"/>
            </w:pPr>
            <w:r>
              <w:rPr>
                <w:b/>
                <w:bCs/>
                <w:lang w:val="fr-FR"/>
              </w:rPr>
              <w:t xml:space="preserve">Exercices</w:t>
            </w:r>
          </w:p>
        </w:tc>
        <w:tc>
          <w:tcPr>
            <w:tcW w:type="dxa" w:w="4300"/>
          </w:tcPr>
          <w:tcPr/>
          <w:p>
            <w:pPr>
              <w:pStyle w:val="Compact"/>
            </w:pPr>
            <w:r>
              <w:rPr>
                <w:lang w:val="fr-FR"/>
              </w:rPr>
              <w:t xml:space="preserve">Contenu des exercices, réponses élèves (prénom saisi par l’élève)</w:t>
            </w:r>
          </w:p>
        </w:tc>
        <w:tc>
          <w:tcPr>
            <w:tcW w:type="dxa" w:w="3253"/>
          </w:tcPr>
          <w:tcPr/>
          <w:p>
            <w:pPr>
              <w:pStyle w:val="Compact"/>
            </w:pPr>
            <w:r>
              <w:rPr>
                <w:lang w:val="fr-FR"/>
              </w:rPr>
              <w:t xml:space="preserve">Standard</w:t>
            </w:r>
          </w:p>
        </w:tc>
      </w:tr>
      <w:tr>
        <w:tc>
          <w:tcPr>
            <w:tcW w:type="dxa" w:w="2083"/>
          </w:tcPr>
          <w:tcPr/>
          <w:p>
            <w:pPr>
              <w:pStyle w:val="Compact"/>
            </w:pPr>
            <w:r>
              <w:rPr>
                <w:b/>
                <w:bCs/>
                <w:lang w:val="fr-FR"/>
              </w:rPr>
              <w:t xml:space="preserve">Plans de travail</w:t>
            </w:r>
          </w:p>
        </w:tc>
        <w:tc>
          <w:tcPr>
            <w:tcW w:type="dxa" w:w="4300"/>
          </w:tcPr>
          <w:tcPr/>
          <w:p>
            <w:pPr>
              <w:pStyle w:val="Compact"/>
            </w:pPr>
            <w:r>
              <w:rPr>
                <w:lang w:val="fr-FR"/>
              </w:rPr>
              <w:t xml:space="preserve">Activités, progression élèves</w:t>
            </w:r>
          </w:p>
        </w:tc>
        <w:tc>
          <w:tcPr>
            <w:tcW w:type="dxa" w:w="3253"/>
          </w:tcPr>
          <w:tcPr/>
          <w:p>
            <w:pPr>
              <w:pStyle w:val="Compact"/>
            </w:pPr>
            <w:r>
              <w:rPr>
                <w:lang w:val="fr-FR"/>
              </w:rPr>
              <w:t xml:space="preserve">Standard</w:t>
            </w:r>
          </w:p>
        </w:tc>
      </w:tr>
      <w:tr>
        <w:tc>
          <w:tcPr>
            <w:tcW w:type="dxa" w:w="2083"/>
          </w:tcPr>
          <w:tcPr/>
          <w:p>
            <w:pPr>
              <w:pStyle w:val="Compact"/>
            </w:pPr>
            <w:r>
              <w:rPr>
                <w:b/>
                <w:bCs/>
                <w:lang w:val="fr-FR"/>
              </w:rPr>
              <w:t xml:space="preserve">TeacherStudio</w:t>
            </w:r>
          </w:p>
        </w:tc>
        <w:tc>
          <w:tcPr>
            <w:tcW w:type="dxa" w:w="4300"/>
          </w:tcPr>
          <w:tcPr/>
          <w:p>
            <w:pPr>
              <w:pStyle w:val="Compact"/>
            </w:pPr>
            <w:r>
              <w:rPr>
                <w:lang w:val="fr-FR"/>
              </w:rPr>
              <w:t xml:space="preserve">Sources documentaires, contenus générés, chatbots</w:t>
            </w:r>
          </w:p>
        </w:tc>
        <w:tc>
          <w:tcPr>
            <w:tcW w:type="dxa" w:w="3253"/>
          </w:tcPr>
          <w:tcPr/>
          <w:p>
            <w:pPr>
              <w:pStyle w:val="Compact"/>
            </w:pPr>
            <w:r>
              <w:rPr>
                <w:lang w:val="fr-FR"/>
              </w:rPr>
              <w:t xml:space="preserve">Standard</w:t>
            </w:r>
          </w:p>
        </w:tc>
      </w:tr>
      <w:tr>
        <w:tc>
          <w:tcPr>
            <w:tcW w:type="dxa" w:w="2083"/>
          </w:tcPr>
          <w:tcPr/>
          <w:p>
            <w:pPr>
              <w:pStyle w:val="Compact"/>
            </w:pPr>
            <w:r>
              <w:rPr>
                <w:b/>
                <w:bCs/>
                <w:lang w:val="fr-FR"/>
              </w:rPr>
              <w:t xml:space="preserve">Logs techniques</w:t>
            </w:r>
          </w:p>
        </w:tc>
        <w:tc>
          <w:tcPr>
            <w:tcW w:type="dxa" w:w="4300"/>
          </w:tcPr>
          <w:tcPr/>
          <w:p>
            <w:pPr>
              <w:pStyle w:val="Compact"/>
            </w:pPr>
            <w:r>
              <w:rPr>
                <w:lang w:val="fr-FR"/>
              </w:rPr>
              <w:t xml:space="preserve">IP, horodatage, user-agent</w:t>
            </w:r>
          </w:p>
        </w:tc>
        <w:tc>
          <w:tcPr>
            <w:tcW w:type="dxa" w:w="3253"/>
          </w:tcPr>
          <w:tcPr/>
          <w:p>
            <w:pPr>
              <w:pStyle w:val="Compact"/>
            </w:pPr>
            <w:r>
              <w:rPr>
                <w:lang w:val="fr-FR"/>
              </w:rPr>
              <w:t xml:space="preserve">Standard (sécurité)</w:t>
            </w:r>
          </w:p>
        </w:tc>
      </w:tr>
    </w:tbl>
    <w:bookmarkStart w:id="21" w:name="Xa2fd02129bb9c06abc6a6bcb4e38b7cbeef4cfd"/>
    <w:p>
      <w:pPr>
        <w:pStyle w:val="Heading3"/>
      </w:pPr>
      <w:r>
        <w:rPr>
          <w:lang w:val="fr-FR"/>
        </w:rPr>
        <w:t xml:space="preserve">Précisions importantes sur les données élèves</w:t>
      </w:r>
    </w:p>
    <w:p>
      <w:pPr>
        <w:pStyle w:val="Compact"/>
        <w:numPr>
          <w:ilvl w:val="0"/>
          <w:numId w:val="1002"/>
        </w:numPr>
      </w:pPr>
      <w:r>
        <w:rPr>
          <w:b/>
          <w:bCs/>
          <w:lang w:val="fr-FR"/>
        </w:rPr>
        <w:t xml:space="preserve">Correction de copies</w:t>
      </w:r>
      <w:r>
        <w:rPr>
          <w:lang w:val="fr-FR"/>
        </w:rPr>
        <w:t xml:space="preserve"> </w:t>
      </w:r>
      <w:r>
        <w:rPr>
          <w:lang w:val="fr-FR"/>
        </w:rPr>
        <w:t xml:space="preserve">: pour permettre la correction en arrière-plan, une meilleure résolution de lecture et la recorrection ultérieure, l’original de la copie est conservé</w:t>
      </w:r>
      <w:r>
        <w:rPr>
          <w:lang w:val="fr-FR"/>
        </w:rPr>
        <w:t xml:space="preserve"> </w:t>
      </w:r>
      <w:r>
        <w:rPr>
          <w:b/>
          <w:bCs/>
          <w:lang w:val="fr-FR"/>
        </w:rPr>
        <w:t xml:space="preserve">30 jours après sa correction</w:t>
      </w:r>
      <w:r>
        <w:rPr>
          <w:lang w:val="fr-FR"/>
        </w:rPr>
        <w:t xml:space="preserve"> </w:t>
      </w:r>
      <w:r>
        <w:rPr>
          <w:lang w:val="fr-FR"/>
        </w:rPr>
        <w:t xml:space="preserve">(et au plus tard le 31 août) dans un espace de stockage situé en</w:t>
      </w:r>
      <w:r>
        <w:rPr>
          <w:lang w:val="fr-FR"/>
        </w:rPr>
        <w:t xml:space="preserve"> </w:t>
      </w:r>
      <w:r>
        <w:rPr>
          <w:b/>
          <w:bCs/>
          <w:lang w:val="fr-FR"/>
        </w:rPr>
        <w:t xml:space="preserve">Union Européenne</w:t>
      </w:r>
      <w:r>
        <w:rPr>
          <w:lang w:val="fr-FR"/>
        </w:rPr>
        <w:t xml:space="preserve"> </w:t>
      </w:r>
      <w:r>
        <w:rPr>
          <w:lang w:val="fr-FR"/>
        </w:rPr>
        <w:t xml:space="preserve">(Google Cloud, europe-west1), à accès strictement contrôlé (jamais d’accès public), puis supprimé automatiquement. Le masquage de l’en-tête (nom, prénom, classe) est appliqué automatiquement avant tout envoi à l’IA ; il est recommandé en complément de masquer le nom de famille sur la copie avant la photo ou l’envoi.</w:t>
      </w:r>
    </w:p>
    <w:p>
      <w:pPr>
        <w:pStyle w:val="Compact"/>
        <w:numPr>
          <w:ilvl w:val="0"/>
          <w:numId w:val="1002"/>
        </w:numPr>
      </w:pPr>
      <w:r>
        <w:rPr>
          <w:b/>
          <w:bCs/>
          <w:lang w:val="fr-FR"/>
        </w:rPr>
        <w:t xml:space="preserve">Noms et prénoms des élèves</w:t>
      </w:r>
      <w:r>
        <w:rPr>
          <w:lang w:val="fr-FR"/>
        </w:rPr>
        <w:t xml:space="preserve"> </w:t>
      </w:r>
      <w:r>
        <w:rPr>
          <w:lang w:val="fr-FR"/>
        </w:rPr>
        <w:t xml:space="preserve">: deux protections coexistent, selon l’usage de la donnée.</w:t>
      </w:r>
      <w:r>
        <w:rPr>
          <w:lang w:val="fr-FR"/>
        </w:rPr>
        <w:t xml:space="preserve"> </w:t>
      </w:r>
      <w:r>
        <w:rPr>
          <w:b/>
          <w:bCs/>
          <w:lang w:val="fr-FR"/>
        </w:rPr>
        <w:t xml:space="preserve">Aucun nom ni prénom d’élève n’est stocké en clair.</w:t>
      </w:r>
    </w:p>
    <w:p>
      <w:pPr>
        <w:pStyle w:val="Compact"/>
        <w:numPr>
          <w:ilvl w:val="1"/>
          <w:numId w:val="1003"/>
        </w:numPr>
      </w:pPr>
      <w:r>
        <w:rPr>
          <w:i/>
          <w:iCs/>
          <w:lang w:val="fr-FR"/>
        </w:rPr>
        <w:t xml:space="preserve">Noms saisis par l’enseignant</w:t>
      </w:r>
      <w:r>
        <w:rPr>
          <w:lang w:val="fr-FR"/>
        </w:rPr>
        <w:t xml:space="preserve"> </w:t>
      </w:r>
      <w:r>
        <w:rPr>
          <w:lang w:val="fr-FR"/>
        </w:rPr>
        <w:t xml:space="preserve">(liste de classe, suivi de progression, corrections) : chiffrés</w:t>
      </w:r>
      <w:r>
        <w:rPr>
          <w:lang w:val="fr-FR"/>
        </w:rPr>
        <w:t xml:space="preserve"> </w:t>
      </w:r>
      <w:r>
        <w:rPr>
          <w:b/>
          <w:bCs/>
          <w:lang w:val="fr-FR"/>
        </w:rPr>
        <w:t xml:space="preserve">de bout en bout</w:t>
      </w:r>
      <w:r>
        <w:rPr>
          <w:lang w:val="fr-FR"/>
        </w:rPr>
        <w:t xml:space="preserve"> </w:t>
      </w:r>
      <w:r>
        <w:rPr>
          <w:lang w:val="fr-FR"/>
        </w:rPr>
        <w:t xml:space="preserve">dans le navigateur de l’enseignant, avec une clé dérivée de son mot de passe qui n’est jamais transmise au Sous-traitant. Celui-ci ne peut techniquement pas lire ces noms, y compris sous contrainte légale.</w:t>
      </w:r>
    </w:p>
    <w:p>
      <w:pPr>
        <w:pStyle w:val="Compact"/>
        <w:numPr>
          <w:ilvl w:val="1"/>
          <w:numId w:val="1003"/>
        </w:numPr>
      </w:pPr>
      <w:r>
        <w:rPr>
          <w:i/>
          <w:iCs/>
          <w:lang w:val="fr-FR"/>
        </w:rPr>
        <w:t xml:space="preserve">Prénoms utilisés par le canal élève</w:t>
      </w:r>
      <w:r>
        <w:rPr>
          <w:lang w:val="fr-FR"/>
        </w:rPr>
        <w:t xml:space="preserve"> </w:t>
      </w:r>
      <w:r>
        <w:rPr>
          <w:lang w:val="fr-FR"/>
        </w:rPr>
        <w:t xml:space="preserve">(connexion de l’élève à son portfolio, dépôt de copies) : chiffrés</w:t>
      </w:r>
      <w:r>
        <w:rPr>
          <w:lang w:val="fr-FR"/>
        </w:rPr>
        <w:t xml:space="preserve"> </w:t>
      </w:r>
      <w:r>
        <w:rPr>
          <w:b/>
          <w:bCs/>
          <w:lang w:val="fr-FR"/>
        </w:rPr>
        <w:t xml:space="preserve">au repos</w:t>
      </w:r>
      <w:r>
        <w:rPr>
          <w:lang w:val="fr-FR"/>
        </w:rPr>
        <w:t xml:space="preserve"> </w:t>
      </w:r>
      <w:r>
        <w:rPr>
          <w:lang w:val="fr-FR"/>
        </w:rPr>
        <w:t xml:space="preserve">en base de données (AES-256-GCM, clé détenue par le service). Ce chiffrement protège la base en cas de compromission, mais le service peut les déchiffrer, et le fait uniquement pour deux opérations : authentifier l’élève au moment où il saisit son prénom, et afficher au professeur la liste des copies déposées par sa classe.</w:t>
      </w:r>
    </w:p>
    <w:p>
      <w:pPr>
        <w:pStyle w:val="Compact"/>
        <w:numPr>
          <w:ilvl w:val="0"/>
          <w:numId w:val="1002"/>
        </w:numPr>
      </w:pPr>
      <w:r>
        <w:rPr>
          <w:b/>
          <w:bCs/>
          <w:lang w:val="fr-FR"/>
        </w:rPr>
        <w:t xml:space="preserve">Pas de compte élève</w:t>
      </w:r>
      <w:r>
        <w:rPr>
          <w:lang w:val="fr-FR"/>
        </w:rPr>
        <w:t xml:space="preserve"> </w:t>
      </w:r>
      <w:r>
        <w:rPr>
          <w:lang w:val="fr-FR"/>
        </w:rPr>
        <w:t xml:space="preserve">: l’accès élève se fait par lien sécurisé et code + prénom, sans création de compte, sans adresse email.</w:t>
      </w:r>
    </w:p>
    <w:p>
      <w:r>
        <w:pict>
          <v:rect style="width:0;height:1.5pt" o:hralign="center" o:hrstd="t" o:hr="t"/>
        </w:pict>
      </w:r>
    </w:p>
    <w:bookmarkEnd w:id="21"/>
    <w:bookmarkEnd w:id="22"/>
    <w:bookmarkStart w:id="23" w:name="Xbfeb4695c7aced5977e669d7fcf69e44842d169"/>
    <w:p>
      <w:pPr>
        <w:pStyle w:val="Heading2"/>
      </w:pPr>
      <w:r>
        <w:rPr>
          <w:lang w:val="fr-FR"/>
        </w:rPr>
        <w:t xml:space="preserve">Article 4 - Catégories de personnes concernées</w:t>
      </w:r>
    </w:p>
    <w:p>
      <w:pPr>
        <w:pStyle w:val="Compact"/>
        <w:numPr>
          <w:ilvl w:val="0"/>
          <w:numId w:val="1004"/>
        </w:numPr>
      </w:pPr>
      <w:r>
        <w:rPr>
          <w:b/>
          <w:bCs/>
          <w:lang w:val="fr-FR"/>
        </w:rPr>
        <w:t xml:space="preserve">Élèves</w:t>
      </w:r>
      <w:r>
        <w:rPr>
          <w:lang w:val="fr-FR"/>
        </w:rPr>
        <w:t xml:space="preserve"> </w:t>
      </w:r>
      <w:r>
        <w:rPr>
          <w:lang w:val="fr-FR"/>
        </w:rPr>
        <w:t xml:space="preserve">: élèves dont les copies sont analysées, qui réalisent des exercices, consultent des ressources ou suivent des plans de travail (personnes concernées, sans compte EvalIA)</w:t>
      </w:r>
    </w:p>
    <w:p>
      <w:pPr>
        <w:pStyle w:val="Compact"/>
        <w:numPr>
          <w:ilvl w:val="0"/>
          <w:numId w:val="1004"/>
        </w:numPr>
      </w:pPr>
      <w:r>
        <w:rPr>
          <w:b/>
          <w:bCs/>
          <w:lang w:val="fr-FR"/>
        </w:rPr>
        <w:t xml:space="preserve">Enseignants utilisateurs</w:t>
      </w:r>
      <w:r>
        <w:rPr>
          <w:lang w:val="fr-FR"/>
        </w:rPr>
        <w:t xml:space="preserve"> </w:t>
      </w:r>
      <w:r>
        <w:rPr>
          <w:lang w:val="fr-FR"/>
        </w:rPr>
        <w:t xml:space="preserve">: pour leurs seules données d’usage pédagogique ; leurs données de compte relèvent de l’article 2.5</w:t>
      </w:r>
    </w:p>
    <w:p>
      <w:r>
        <w:pict>
          <v:rect style="width:0;height:1.5pt" o:hralign="center" o:hrstd="t" o:hr="t"/>
        </w:pict>
      </w:r>
    </w:p>
    <w:bookmarkEnd w:id="23"/>
    <w:bookmarkStart w:id="29" w:name="article-5---obligations-du-sous-traitant"/>
    <w:p>
      <w:pPr>
        <w:pStyle w:val="Heading2"/>
      </w:pPr>
      <w:r>
        <w:rPr>
          <w:lang w:val="fr-FR"/>
        </w:rPr>
        <w:t xml:space="preserve">Article 5 - Obligations du Sous-traitant</w:t>
      </w:r>
    </w:p>
    <w:bookmarkStart w:id="24" w:name="traitement-des-données"/>
    <w:p>
      <w:pPr>
        <w:pStyle w:val="Heading3"/>
      </w:pPr>
      <w:r>
        <w:rPr>
          <w:lang w:val="fr-FR"/>
        </w:rPr>
        <w:t xml:space="preserve">5.1 Traitement des données</w:t>
      </w:r>
    </w:p>
    <w:p>
      <w:pPr>
        <w:pStyle w:val="FirstParagraph"/>
      </w:pPr>
      <w:r>
        <w:rPr>
          <w:lang w:val="fr-FR"/>
        </w:rPr>
        <w:t xml:space="preserve">Le Sous-traitant s’engage à :</w:t>
      </w:r>
    </w:p>
    <w:p>
      <w:pPr>
        <w:pStyle w:val="Compact"/>
        <w:numPr>
          <w:ilvl w:val="0"/>
          <w:numId w:val="1005"/>
        </w:numPr>
      </w:pPr>
      <w:r>
        <w:rPr>
          <w:lang w:val="fr-FR"/>
        </w:rPr>
        <w:t xml:space="preserve">Traiter les données uniquement pour les finalités de l’article 2 et sur instruction documentée du Responsable de traitement</w:t>
      </w:r>
    </w:p>
    <w:p>
      <w:pPr>
        <w:pStyle w:val="Compact"/>
        <w:numPr>
          <w:ilvl w:val="0"/>
          <w:numId w:val="1005"/>
        </w:numPr>
      </w:pPr>
      <w:r>
        <w:rPr>
          <w:lang w:val="fr-FR"/>
        </w:rPr>
        <w:t xml:space="preserve">Ne pas utiliser les données pour ses propres finalités, à deux exceptions près, exercées en qualité de responsable de traitement dans les conditions décrites dans sa politique de confidentialité : (a) la sécurité de la plateforme (journaux, mesures anti-abus, supervision d’erreurs) et (b) des bancs de qualité internes réalisés exclusivement sur des copies préalablement pseudonymisées (mentions directement identifiantes retirées), sans transmission à des tiers</w:t>
      </w:r>
    </w:p>
    <w:p>
      <w:pPr>
        <w:pStyle w:val="Compact"/>
        <w:numPr>
          <w:ilvl w:val="0"/>
          <w:numId w:val="1005"/>
        </w:numPr>
      </w:pPr>
      <w:r>
        <w:rPr>
          <w:lang w:val="fr-FR"/>
        </w:rPr>
        <w:t xml:space="preserve">Ne pas utiliser les données pour l’entraînement de modèles d’IA, sans aucune exception</w:t>
      </w:r>
    </w:p>
    <w:p>
      <w:pPr>
        <w:pStyle w:val="Compact"/>
        <w:numPr>
          <w:ilvl w:val="0"/>
          <w:numId w:val="1005"/>
        </w:numPr>
      </w:pPr>
      <w:r>
        <w:rPr>
          <w:lang w:val="fr-FR"/>
        </w:rPr>
        <w:t xml:space="preserve">Garantir la confidentialité des données traitées</w:t>
      </w:r>
    </w:p>
    <w:p>
      <w:pPr>
        <w:pStyle w:val="Compact"/>
        <w:numPr>
          <w:ilvl w:val="0"/>
          <w:numId w:val="1005"/>
        </w:numPr>
      </w:pPr>
      <w:r>
        <w:rPr>
          <w:lang w:val="fr-FR"/>
        </w:rPr>
        <w:t xml:space="preserve">Informer immédiatement le Responsable de traitement si une instruction constitue, selon lui, une violation du RGPD ou d’une autre disposition relative à la protection des données (article 28.3, dernier alinéa)</w:t>
      </w:r>
    </w:p>
    <w:bookmarkEnd w:id="24"/>
    <w:bookmarkStart w:id="25" w:name="localisation-des-données"/>
    <w:p>
      <w:pPr>
        <w:pStyle w:val="Heading3"/>
      </w:pPr>
      <w:r>
        <w:rPr>
          <w:lang w:val="fr-FR"/>
        </w:rPr>
        <w:t xml:space="preserve">5.2 Localisation des données</w:t>
      </w:r>
    </w:p>
    <w:p>
      <w:pPr>
        <w:pStyle w:val="FirstParagraph"/>
      </w:pPr>
      <w:r>
        <w:rPr>
          <w:lang w:val="fr-FR"/>
        </w:rPr>
        <w:t xml:space="preserve">L’ensemble des données personnelles et des traitements IA portant sur des données personnelles est effectué au sein de l’</w:t>
      </w:r>
      <w:r>
        <w:rPr>
          <w:b/>
          <w:bCs/>
          <w:lang w:val="fr-FR"/>
        </w:rPr>
        <w:t xml:space="preserve">Union Européenne</w:t>
      </w:r>
      <w:r>
        <w:rPr>
          <w:lang w:val="fr-FR"/>
        </w:rPr>
        <w:t xml:space="preserve"> </w:t>
      </w:r>
      <w:r>
        <w:rPr>
          <w:lang w:val="fr-FR"/>
        </w:rPr>
        <w:t xml:space="preserve">:</w:t>
      </w:r>
    </w:p>
    <w:p>
      <w:pPr>
        <w:pStyle w:val="Compact"/>
        <w:numPr>
          <w:ilvl w:val="0"/>
          <w:numId w:val="1006"/>
        </w:numPr>
      </w:pPr>
      <w:r>
        <w:rPr>
          <w:lang w:val="fr-FR"/>
        </w:rPr>
        <w:t xml:space="preserve">Base de données : Google Firestore, multi-région UE</w:t>
      </w:r>
      <w:r>
        <w:rPr>
          <w:lang w:val="fr-FR"/>
        </w:rPr>
        <w:t xml:space="preserve"> </w:t>
      </w:r>
      <w:r>
        <w:rPr>
          <w:rStyle w:val="VerbatimChar"/>
          <w:lang w:val="fr-FR"/>
        </w:rPr>
        <w:t xml:space="preserve">eur3</w:t>
      </w:r>
      <w:r>
        <w:rPr>
          <w:lang w:val="fr-FR"/>
        </w:rPr>
        <w:t xml:space="preserve"> </w:t>
      </w:r>
      <w:r>
        <w:rPr>
          <w:lang w:val="fr-FR"/>
        </w:rPr>
        <w:t xml:space="preserve">(Belgique et Pays-Bas)</w:t>
      </w:r>
    </w:p>
    <w:p>
      <w:pPr>
        <w:pStyle w:val="Compact"/>
        <w:numPr>
          <w:ilvl w:val="0"/>
          <w:numId w:val="1006"/>
        </w:numPr>
      </w:pPr>
      <w:r>
        <w:rPr>
          <w:lang w:val="fr-FR"/>
        </w:rPr>
        <w:t xml:space="preserve">Stockage de fichiers : Google Cloud Storage, europe-west1 (Belgique)</w:t>
      </w:r>
    </w:p>
    <w:p>
      <w:pPr>
        <w:pStyle w:val="Compact"/>
        <w:numPr>
          <w:ilvl w:val="0"/>
          <w:numId w:val="1006"/>
        </w:numPr>
      </w:pPr>
      <w:r>
        <w:rPr>
          <w:lang w:val="fr-FR"/>
        </w:rPr>
        <w:t xml:space="preserve">Traitements serveur asynchrones (dont correction de copies) : Google Cloud Run et Cloud Functions, europe-west1 (Belgique) et europe-west3 (Francfort)</w:t>
      </w:r>
    </w:p>
    <w:p>
      <w:pPr>
        <w:pStyle w:val="Compact"/>
        <w:numPr>
          <w:ilvl w:val="0"/>
          <w:numId w:val="1006"/>
        </w:numPr>
      </w:pPr>
      <w:r>
        <w:rPr>
          <w:lang w:val="fr-FR"/>
        </w:rPr>
        <w:t xml:space="preserve">IA générative : Google Vertex AI, europe-west1 (Belgique) et multi-région UE</w:t>
      </w:r>
      <w:r>
        <w:rPr>
          <w:lang w:val="fr-FR"/>
        </w:rPr>
        <w:t xml:space="preserve"> </w:t>
      </w:r>
      <w:r>
        <w:rPr>
          <w:rStyle w:val="VerbatimChar"/>
          <w:lang w:val="fr-FR"/>
        </w:rPr>
        <w:t xml:space="preserve">eu</w:t>
      </w:r>
      <w:r>
        <w:rPr>
          <w:lang w:val="fr-FR"/>
        </w:rPr>
        <w:t xml:space="preserve"> </w:t>
      </w:r>
      <w:r>
        <w:rPr>
          <w:lang w:val="fr-FR"/>
        </w:rPr>
        <w:t xml:space="preserve">(en-tête des copies masqué avant envoi)</w:t>
      </w:r>
    </w:p>
    <w:p>
      <w:pPr>
        <w:pStyle w:val="FirstParagraph"/>
      </w:pPr>
      <w:r>
        <w:rPr>
          <w:b/>
          <w:bCs/>
          <w:lang w:val="fr-FR"/>
        </w:rPr>
        <w:t xml:space="preserve">Exception limitée</w:t>
      </w:r>
      <w:r>
        <w:rPr>
          <w:lang w:val="fr-FR"/>
        </w:rPr>
        <w:t xml:space="preserve"> </w:t>
      </w:r>
      <w:r>
        <w:rPr>
          <w:lang w:val="fr-FR"/>
        </w:rPr>
        <w:t xml:space="preserve">: la génération de visuels pédagogiques utilise un endpoint Vertex AI global ; les requêtes concernées ne contiennent</w:t>
      </w:r>
      <w:r>
        <w:rPr>
          <w:lang w:val="fr-FR"/>
        </w:rPr>
        <w:t xml:space="preserve"> </w:t>
      </w:r>
      <w:r>
        <w:rPr>
          <w:b/>
          <w:bCs/>
          <w:lang w:val="fr-FR"/>
        </w:rPr>
        <w:t xml:space="preserve">aucune donnée personnelle</w:t>
      </w:r>
      <w:r>
        <w:rPr>
          <w:lang w:val="fr-FR"/>
        </w:rPr>
        <w:t xml:space="preserve"> </w:t>
      </w:r>
      <w:r>
        <w:rPr>
          <w:lang w:val="fr-FR"/>
        </w:rPr>
        <w:t xml:space="preserve">(uniquement des descriptions de schémas). L’outil de développement de l’éditeur (Anthropic, USA) peut ponctuellement être exposé à des données de débogage limitées ; ce transfert est encadré par les Clauses Contractuelles Types (article 46.2.c du RGPD).</w:t>
      </w:r>
    </w:p>
    <w:bookmarkEnd w:id="25"/>
    <w:bookmarkStart w:id="26" w:name="personnel-autorisé"/>
    <w:p>
      <w:pPr>
        <w:pStyle w:val="Heading3"/>
      </w:pPr>
      <w:r>
        <w:rPr>
          <w:lang w:val="fr-FR"/>
        </w:rPr>
        <w:t xml:space="preserve">5.3 Personnel autorisé</w:t>
      </w:r>
    </w:p>
    <w:p>
      <w:pPr>
        <w:pStyle w:val="FirstParagraph"/>
      </w:pPr>
      <w:r>
        <w:rPr>
          <w:lang w:val="fr-FR"/>
        </w:rPr>
        <w:t xml:space="preserve">Le Sous-traitant veille à ce que les personnes autorisées à traiter les données :</w:t>
      </w:r>
    </w:p>
    <w:p>
      <w:pPr>
        <w:pStyle w:val="Compact"/>
        <w:numPr>
          <w:ilvl w:val="0"/>
          <w:numId w:val="1007"/>
        </w:numPr>
      </w:pPr>
      <w:r>
        <w:rPr>
          <w:lang w:val="fr-FR"/>
        </w:rPr>
        <w:t xml:space="preserve">S’engagent à respecter la confidentialité</w:t>
      </w:r>
    </w:p>
    <w:p>
      <w:pPr>
        <w:pStyle w:val="Compact"/>
        <w:numPr>
          <w:ilvl w:val="0"/>
          <w:numId w:val="1007"/>
        </w:numPr>
      </w:pPr>
      <w:r>
        <w:rPr>
          <w:lang w:val="fr-FR"/>
        </w:rPr>
        <w:t xml:space="preserve">N’accèdent qu’aux données strictement nécessaires à leurs fonctions</w:t>
      </w:r>
    </w:p>
    <w:p>
      <w:pPr>
        <w:pStyle w:val="Compact"/>
        <w:numPr>
          <w:ilvl w:val="0"/>
          <w:numId w:val="1007"/>
        </w:numPr>
      </w:pPr>
      <w:r>
        <w:rPr>
          <w:lang w:val="fr-FR"/>
        </w:rPr>
        <w:t xml:space="preserve">Soient informées des exigences du RGPD</w:t>
      </w:r>
    </w:p>
    <w:bookmarkEnd w:id="26"/>
    <w:bookmarkStart w:id="27" w:name="sécurité"/>
    <w:p>
      <w:pPr>
        <w:pStyle w:val="Heading3"/>
      </w:pPr>
      <w:r>
        <w:rPr>
          <w:lang w:val="fr-FR"/>
        </w:rPr>
        <w:t xml:space="preserve">5.4 Sécurité</w:t>
      </w:r>
    </w:p>
    <w:p>
      <w:pPr>
        <w:pStyle w:val="FirstParagraph"/>
      </w:pPr>
      <w:r>
        <w:rPr>
          <w:lang w:val="fr-FR"/>
        </w:rPr>
        <w:t xml:space="preserve">Le Sous-traitant met en œuvre les mesures techniques et organisationnelles suivantes :</w:t>
      </w:r>
    </w:p>
    <w:p>
      <w:pPr>
        <w:pStyle w:val="Compact"/>
        <w:numPr>
          <w:ilvl w:val="0"/>
          <w:numId w:val="1008"/>
        </w:numPr>
      </w:pPr>
      <w:r>
        <w:rPr>
          <w:lang w:val="fr-FR"/>
        </w:rPr>
        <w:t xml:space="preserve">Chiffrement des données en transit (HTTPS/TLS 1.3)</w:t>
      </w:r>
    </w:p>
    <w:p>
      <w:pPr>
        <w:pStyle w:val="Compact"/>
        <w:numPr>
          <w:ilvl w:val="0"/>
          <w:numId w:val="1008"/>
        </w:numPr>
      </w:pPr>
      <w:r>
        <w:rPr>
          <w:lang w:val="fr-FR"/>
        </w:rPr>
        <w:t xml:space="preserve">Chiffrement des données au repos (AES-256, Google Cloud)</w:t>
      </w:r>
    </w:p>
    <w:p>
      <w:pPr>
        <w:pStyle w:val="Compact"/>
        <w:numPr>
          <w:ilvl w:val="0"/>
          <w:numId w:val="1008"/>
        </w:numPr>
      </w:pPr>
      <w:r>
        <w:rPr>
          <w:lang w:val="fr-FR"/>
        </w:rPr>
        <w:t xml:space="preserve">Chiffrement de bout en bout des noms d’élèves saisis par l’enseignant (AES-256-GCM, clé dérivée de son mot de passe, jamais détenue par le Sous-traitant)</w:t>
      </w:r>
    </w:p>
    <w:p>
      <w:pPr>
        <w:pStyle w:val="Compact"/>
        <w:numPr>
          <w:ilvl w:val="0"/>
          <w:numId w:val="1008"/>
        </w:numPr>
      </w:pPr>
      <w:r>
        <w:rPr>
          <w:lang w:val="fr-FR"/>
        </w:rPr>
        <w:t xml:space="preserve">Chiffrement au repos (AES-256-GCM, clé serveur) des prénoms utilisés par le canal élève (connexion au portfolio, dépôt de copies), déchiffrables uniquement pour authentifier l’élève et afficher la liste des copies au professeur</w:t>
      </w:r>
    </w:p>
    <w:p>
      <w:pPr>
        <w:pStyle w:val="Compact"/>
        <w:numPr>
          <w:ilvl w:val="0"/>
          <w:numId w:val="1008"/>
        </w:numPr>
      </w:pPr>
      <w:r>
        <w:rPr>
          <w:lang w:val="fr-FR"/>
        </w:rPr>
        <w:t xml:space="preserve">Authentification Firebase Authentication, mot de passe de 8 caractères minimum</w:t>
      </w:r>
    </w:p>
    <w:p>
      <w:pPr>
        <w:pStyle w:val="Compact"/>
        <w:numPr>
          <w:ilvl w:val="0"/>
          <w:numId w:val="1008"/>
        </w:numPr>
      </w:pPr>
      <w:r>
        <w:rPr>
          <w:b/>
          <w:bCs/>
          <w:lang w:val="fr-FR"/>
        </w:rPr>
        <w:t xml:space="preserve">Double authentification (TOTP)</w:t>
      </w:r>
      <w:r>
        <w:rPr>
          <w:lang w:val="fr-FR"/>
        </w:rPr>
        <w:t xml:space="preserve"> </w:t>
      </w:r>
      <w:r>
        <w:rPr>
          <w:lang w:val="fr-FR"/>
        </w:rPr>
        <w:t xml:space="preserve">proposée à chaque enseignant, et déconnexion automatique sur inactivité (30 minutes) pour les ordinateurs partagés</w:t>
      </w:r>
    </w:p>
    <w:p>
      <w:pPr>
        <w:pStyle w:val="Compact"/>
        <w:numPr>
          <w:ilvl w:val="0"/>
          <w:numId w:val="1008"/>
        </w:numPr>
      </w:pPr>
      <w:r>
        <w:rPr>
          <w:lang w:val="fr-FR"/>
        </w:rPr>
        <w:t xml:space="preserve">Contrôle d’accès strict (règles de sécurité deny by default, isolation par utilisateur)</w:t>
      </w:r>
    </w:p>
    <w:p>
      <w:pPr>
        <w:pStyle w:val="Compact"/>
        <w:numPr>
          <w:ilvl w:val="0"/>
          <w:numId w:val="1008"/>
        </w:numPr>
      </w:pPr>
      <w:r>
        <w:rPr>
          <w:lang w:val="fr-FR"/>
        </w:rPr>
        <w:t xml:space="preserve">Protection XSS et injection de prompt (bibliothèque de validation dédiée)</w:t>
      </w:r>
    </w:p>
    <w:p>
      <w:pPr>
        <w:pStyle w:val="Compact"/>
        <w:numPr>
          <w:ilvl w:val="0"/>
          <w:numId w:val="1008"/>
        </w:numPr>
      </w:pPr>
      <w:r>
        <w:rPr>
          <w:lang w:val="fr-FR"/>
        </w:rPr>
        <w:t xml:space="preserve">Validation stricte des fichiers téléversés (type MIME, taille maximale)</w:t>
      </w:r>
    </w:p>
    <w:p>
      <w:pPr>
        <w:pStyle w:val="Compact"/>
        <w:numPr>
          <w:ilvl w:val="0"/>
          <w:numId w:val="1008"/>
        </w:numPr>
      </w:pPr>
      <w:r>
        <w:rPr>
          <w:lang w:val="fr-FR"/>
        </w:rPr>
        <w:t xml:space="preserve">Rate limiting par utilisateur</w:t>
      </w:r>
    </w:p>
    <w:p>
      <w:pPr>
        <w:pStyle w:val="Compact"/>
        <w:numPr>
          <w:ilvl w:val="0"/>
          <w:numId w:val="1008"/>
        </w:numPr>
      </w:pPr>
      <w:r>
        <w:rPr>
          <w:lang w:val="fr-FR"/>
        </w:rPr>
        <w:t xml:space="preserve">Journal d’audit des actions sensibles</w:t>
      </w:r>
    </w:p>
    <w:p>
      <w:pPr>
        <w:pStyle w:val="Compact"/>
        <w:numPr>
          <w:ilvl w:val="0"/>
          <w:numId w:val="1008"/>
        </w:numPr>
      </w:pPr>
      <w:r>
        <w:rPr>
          <w:lang w:val="fr-FR"/>
        </w:rPr>
        <w:t xml:space="preserve">Plus de 13 000 tests automatisés, dont des tests de sécurité dédiés</w:t>
      </w:r>
    </w:p>
    <w:p>
      <w:pPr>
        <w:pStyle w:val="Compact"/>
        <w:numPr>
          <w:ilvl w:val="0"/>
          <w:numId w:val="1008"/>
        </w:numPr>
      </w:pPr>
      <w:r>
        <w:rPr>
          <w:lang w:val="fr-FR"/>
        </w:rPr>
        <w:t xml:space="preserve">Headers de sécurité HTTP (CSP strict, HSTS, X-Frame-Options: DENY)</w:t>
      </w:r>
    </w:p>
    <w:bookmarkEnd w:id="27"/>
    <w:bookmarkStart w:id="28" w:name="assistance-au-responsable-de-traitement"/>
    <w:p>
      <w:pPr>
        <w:pStyle w:val="Heading3"/>
      </w:pPr>
      <w:r>
        <w:rPr>
          <w:lang w:val="fr-FR"/>
        </w:rPr>
        <w:t xml:space="preserve">5.5 Assistance au Responsable de traitement</w:t>
      </w:r>
    </w:p>
    <w:p>
      <w:pPr>
        <w:pStyle w:val="FirstParagraph"/>
      </w:pPr>
      <w:r>
        <w:rPr>
          <w:lang w:val="fr-FR"/>
        </w:rPr>
        <w:t xml:space="preserve">Le Sous-traitant aide le Responsable de traitement, conformément à l’article 28.3, points (e) et (f) du RGPD, à :</w:t>
      </w:r>
    </w:p>
    <w:p>
      <w:pPr>
        <w:pStyle w:val="Compact"/>
        <w:numPr>
          <w:ilvl w:val="0"/>
          <w:numId w:val="1009"/>
        </w:numPr>
      </w:pPr>
      <w:r>
        <w:rPr>
          <w:lang w:val="fr-FR"/>
        </w:rPr>
        <w:t xml:space="preserve">Répondre aux demandes d’exercice des droits des personnes (délai : 72 h)</w:t>
      </w:r>
    </w:p>
    <w:p>
      <w:pPr>
        <w:pStyle w:val="Compact"/>
        <w:numPr>
          <w:ilvl w:val="0"/>
          <w:numId w:val="1009"/>
        </w:numPr>
      </w:pPr>
      <w:r>
        <w:rPr>
          <w:lang w:val="fr-FR"/>
        </w:rPr>
        <w:t xml:space="preserve">Réaliser les analyses d’impact (AIPD) : une</w:t>
      </w:r>
      <w:r>
        <w:rPr>
          <w:lang w:val="fr-FR"/>
        </w:rPr>
        <w:t xml:space="preserve"> </w:t>
      </w:r>
      <w:r>
        <w:rPr>
          <w:b/>
          <w:bCs/>
          <w:lang w:val="fr-FR"/>
        </w:rPr>
        <w:t xml:space="preserve">AIPD cadre pré-remplie</w:t>
      </w:r>
      <w:r>
        <w:rPr>
          <w:lang w:val="fr-FR"/>
        </w:rPr>
        <w:t xml:space="preserve"> </w:t>
      </w:r>
      <w:r>
        <w:rPr>
          <w:lang w:val="fr-FR"/>
        </w:rPr>
        <w:t xml:space="preserve">est fournie, conformément à la recommandation de la FAQ CNIL du 18 juin 2025 sur les systèmes d’IA dans l’éducation</w:t>
      </w:r>
    </w:p>
    <w:p>
      <w:pPr>
        <w:pStyle w:val="Compact"/>
        <w:numPr>
          <w:ilvl w:val="0"/>
          <w:numId w:val="1009"/>
        </w:numPr>
      </w:pPr>
      <w:r>
        <w:rPr>
          <w:lang w:val="fr-FR"/>
        </w:rPr>
        <w:t xml:space="preserve">Mener, le cas échéant, la consultation préalable de la CNIL (article 36 du RGPD)</w:t>
      </w:r>
    </w:p>
    <w:p>
      <w:pPr>
        <w:pStyle w:val="Compact"/>
        <w:numPr>
          <w:ilvl w:val="0"/>
          <w:numId w:val="1009"/>
        </w:numPr>
      </w:pPr>
      <w:r>
        <w:rPr>
          <w:lang w:val="fr-FR"/>
        </w:rPr>
        <w:t xml:space="preserve">Notifier les violations de données (délai : 24 h)</w:t>
      </w:r>
    </w:p>
    <w:p>
      <w:pPr>
        <w:pStyle w:val="Compact"/>
        <w:numPr>
          <w:ilvl w:val="0"/>
          <w:numId w:val="1009"/>
        </w:numPr>
      </w:pPr>
      <w:r>
        <w:rPr>
          <w:lang w:val="fr-FR"/>
        </w:rPr>
        <w:t xml:space="preserve">Assurer la conformité au RGPD et au Règlement IA (AI Act)</w:t>
      </w:r>
    </w:p>
    <w:p>
      <w:r>
        <w:pict>
          <v:rect style="width:0;height:1.5pt" o:hralign="center" o:hrstd="t" o:hr="t"/>
        </w:pict>
      </w:r>
    </w:p>
    <w:bookmarkEnd w:id="28"/>
    <w:bookmarkEnd w:id="29"/>
    <w:bookmarkStart w:id="30" w:name="article-6---sous-traitants-ultérieurs"/>
    <w:p>
      <w:pPr>
        <w:pStyle w:val="Heading2"/>
      </w:pPr>
      <w:r>
        <w:rPr>
          <w:lang w:val="fr-FR"/>
        </w:rPr>
        <w:t xml:space="preserve">Article 6 - Sous-traitants ultérieurs</w:t>
      </w:r>
    </w:p>
    <w:p>
      <w:pPr>
        <w:pStyle w:val="FirstParagraph"/>
      </w:pPr>
      <w:r>
        <w:rPr>
          <w:lang w:val="fr-FR"/>
        </w:rPr>
        <w:t xml:space="preserve">Le Sous-traitant est autorisé à faire appel aux sous-traitants ultérieurs suivants pour les données relevant du présent accord :</w:t>
      </w:r>
    </w:p>
    <w:tbl>
      <w:tblPr>
        <w:tblStyle w:val="Table"/>
        <w:tblW w:type="dxa" w:w="9638"/>
        <w:tblLayout w:type="fixed"/>
        <w:tblLook w:firstRow="1" w:lastRow="0" w:firstColumn="0" w:lastColumn="0" w:noHBand="0" w:noVBand="0" w:val="0020"/>
      </w:tblPr>
      <w:tblGrid>
        <w:gridCol w:w="1827"/>
        <w:gridCol w:w="3007"/>
        <w:gridCol w:w="2083"/>
        <w:gridCol w:w="2718"/>
      </w:tblGrid>
      <w:tr>
        <w:trPr>
          <w:tblHeader w:val="on"/>
        </w:trPr>
        <w:tc>
          <w:tcPr>
            <w:shd w:val="clear" w:color="auto" w:fill="0891B2"/>
            <w:tcW w:type="dxa" w:w="1827"/>
          </w:tcPr>
          <w:tcPr/>
          <w:p>
            <w:pPr>
              <w:pStyle w:val="Compact"/>
            </w:pPr>
            <w:r>
              <w:rPr>
                <w:b/>
                <w:color w:val="FFFFFF"/>
                <w:lang w:val="fr-FR"/>
              </w:rPr>
              <w:t xml:space="preserve">Prestataire</w:t>
            </w:r>
          </w:p>
        </w:tc>
        <w:tc>
          <w:tcPr>
            <w:shd w:val="clear" w:color="auto" w:fill="0891B2"/>
            <w:tcW w:type="dxa" w:w="3007"/>
          </w:tcPr>
          <w:tcPr/>
          <w:p>
            <w:pPr>
              <w:pStyle w:val="Compact"/>
            </w:pPr>
            <w:r>
              <w:rPr>
                <w:b/>
                <w:color w:val="FFFFFF"/>
                <w:lang w:val="fr-FR"/>
              </w:rPr>
              <w:t xml:space="preserve">Fonction</w:t>
            </w:r>
          </w:p>
        </w:tc>
        <w:tc>
          <w:tcPr>
            <w:shd w:val="clear" w:color="auto" w:fill="0891B2"/>
            <w:tcW w:type="dxa" w:w="2083"/>
          </w:tcPr>
          <w:tcPr/>
          <w:p>
            <w:pPr>
              <w:pStyle w:val="Compact"/>
            </w:pPr>
            <w:r>
              <w:rPr>
                <w:b/>
                <w:color w:val="FFFFFF"/>
                <w:lang w:val="fr-FR"/>
              </w:rPr>
              <w:t xml:space="preserve">Localisation</w:t>
            </w:r>
          </w:p>
        </w:tc>
        <w:tc>
          <w:tcPr>
            <w:shd w:val="clear" w:color="auto" w:fill="0891B2"/>
            <w:tcW w:type="dxa" w:w="2718"/>
          </w:tcPr>
          <w:tcPr/>
          <w:p>
            <w:pPr>
              <w:pStyle w:val="Compact"/>
            </w:pPr>
            <w:r>
              <w:rPr>
                <w:b/>
                <w:color w:val="FFFFFF"/>
                <w:lang w:val="fr-FR"/>
              </w:rPr>
              <w:t xml:space="preserve">Garanties</w:t>
            </w:r>
          </w:p>
        </w:tc>
      </w:tr>
      <w:tr>
        <w:tc>
          <w:tcPr>
            <w:tcW w:type="dxa" w:w="1827"/>
          </w:tcPr>
          <w:tcPr/>
          <w:p>
            <w:pPr>
              <w:pStyle w:val="Compact"/>
            </w:pPr>
            <w:r>
              <w:rPr>
                <w:lang w:val="fr-FR"/>
              </w:rPr>
              <w:t xml:space="preserve">Google Cloud / Firebase</w:t>
            </w:r>
          </w:p>
        </w:tc>
        <w:tc>
          <w:tcPr>
            <w:tcW w:type="dxa" w:w="3007"/>
          </w:tcPr>
          <w:tcPr/>
          <w:p>
            <w:pPr>
              <w:pStyle w:val="Compact"/>
            </w:pPr>
            <w:r>
              <w:rPr>
                <w:lang w:val="fr-FR"/>
              </w:rPr>
              <w:t xml:space="preserve">Base de données, stockage, traitements serveur</w:t>
            </w:r>
          </w:p>
        </w:tc>
        <w:tc>
          <w:tcPr>
            <w:tcW w:type="dxa" w:w="2083"/>
          </w:tcPr>
          <w:tcPr/>
          <w:p>
            <w:pPr>
              <w:pStyle w:val="Compact"/>
            </w:pPr>
            <w:r>
              <w:rPr>
                <w:lang w:val="fr-FR"/>
              </w:rPr>
              <w:t xml:space="preserve">UE (multi-région</w:t>
            </w:r>
            <w:r>
              <w:rPr>
                <w:lang w:val="fr-FR"/>
              </w:rPr>
              <w:t xml:space="preserve"> </w:t>
            </w:r>
            <w:r>
              <w:rPr>
                <w:rStyle w:val="VerbatimChar"/>
                <w:lang w:val="fr-FR"/>
              </w:rPr>
              <w:t xml:space="preserve">eur3</w:t>
            </w:r>
            <w:r>
              <w:rPr>
                <w:lang w:val="fr-FR"/>
              </w:rPr>
              <w:t xml:space="preserve">, europe-west1, europe-west3)</w:t>
            </w:r>
          </w:p>
        </w:tc>
        <w:tc>
          <w:tcPr>
            <w:tcW w:type="dxa" w:w="2718"/>
          </w:tcPr>
          <w:tcPr/>
          <w:p>
            <w:pPr>
              <w:pStyle w:val="Compact"/>
            </w:pPr>
            <w:r>
              <w:rPr>
                <w:lang w:val="fr-FR"/>
              </w:rPr>
              <w:t xml:space="preserve">DPA Google Cloud</w:t>
            </w:r>
          </w:p>
        </w:tc>
      </w:tr>
      <w:tr>
        <w:tc>
          <w:tcPr>
            <w:tcW w:type="dxa" w:w="1827"/>
          </w:tcPr>
          <w:tcPr/>
          <w:p>
            <w:pPr>
              <w:pStyle w:val="Compact"/>
            </w:pPr>
            <w:r>
              <w:rPr>
                <w:lang w:val="fr-FR"/>
              </w:rPr>
              <w:t xml:space="preserve">Google Vertex AI</w:t>
            </w:r>
          </w:p>
        </w:tc>
        <w:tc>
          <w:tcPr>
            <w:tcW w:type="dxa" w:w="3007"/>
          </w:tcPr>
          <w:tcPr/>
          <w:p>
            <w:pPr>
              <w:pStyle w:val="Compact"/>
            </w:pPr>
            <w:r>
              <w:rPr>
                <w:lang w:val="fr-FR"/>
              </w:rPr>
              <w:t xml:space="preserve">IA générative (correction, barèmes, exercices, contenus)</w:t>
            </w:r>
          </w:p>
        </w:tc>
        <w:tc>
          <w:tcPr>
            <w:tcW w:type="dxa" w:w="2083"/>
          </w:tcPr>
          <w:tcPr/>
          <w:p>
            <w:pPr>
              <w:pStyle w:val="Compact"/>
            </w:pPr>
            <w:r>
              <w:rPr>
                <w:lang w:val="fr-FR"/>
              </w:rPr>
              <w:t xml:space="preserve">UE (europe-west1 et multi-région</w:t>
            </w:r>
            <w:r>
              <w:rPr>
                <w:lang w:val="fr-FR"/>
              </w:rPr>
              <w:t xml:space="preserve"> </w:t>
            </w:r>
            <w:r>
              <w:rPr>
                <w:rStyle w:val="VerbatimChar"/>
                <w:lang w:val="fr-FR"/>
              </w:rPr>
              <w:t xml:space="preserve">eu</w:t>
            </w:r>
            <w:r>
              <w:rPr>
                <w:lang w:val="fr-FR"/>
              </w:rPr>
              <w:t xml:space="preserve">)</w:t>
            </w:r>
          </w:p>
        </w:tc>
        <w:tc>
          <w:tcPr>
            <w:tcW w:type="dxa" w:w="2718"/>
          </w:tcPr>
          <w:tcPr/>
          <w:p>
            <w:pPr>
              <w:pStyle w:val="Compact"/>
            </w:pPr>
            <w:r>
              <w:rPr>
                <w:lang w:val="fr-FR"/>
              </w:rPr>
              <w:t xml:space="preserve">DPA Google Cloud, pas d’entraînement sur les données</w:t>
            </w:r>
          </w:p>
        </w:tc>
      </w:tr>
      <w:tr>
        <w:tc>
          <w:tcPr>
            <w:tcW w:type="dxa" w:w="1827"/>
          </w:tcPr>
          <w:tcPr/>
          <w:p>
            <w:pPr>
              <w:pStyle w:val="Compact"/>
            </w:pPr>
            <w:r>
              <w:rPr>
                <w:lang w:val="fr-FR"/>
              </w:rPr>
              <w:t xml:space="preserve">Vercel</w:t>
            </w:r>
          </w:p>
        </w:tc>
        <w:tc>
          <w:tcPr>
            <w:tcW w:type="dxa" w:w="3007"/>
          </w:tcPr>
          <w:tcPr/>
          <w:p>
            <w:pPr>
              <w:pStyle w:val="Compact"/>
            </w:pPr>
            <w:r>
              <w:rPr>
                <w:lang w:val="fr-FR"/>
              </w:rPr>
              <w:t xml:space="preserve">Hébergement frontend et API</w:t>
            </w:r>
          </w:p>
        </w:tc>
        <w:tc>
          <w:tcPr>
            <w:tcW w:type="dxa" w:w="2083"/>
          </w:tcPr>
          <w:tcPr/>
          <w:p>
            <w:pPr>
              <w:pStyle w:val="Compact"/>
            </w:pPr>
            <w:r>
              <w:rPr>
                <w:lang w:val="fr-FR"/>
              </w:rPr>
              <w:t xml:space="preserve">UE (Paris)</w:t>
            </w:r>
          </w:p>
        </w:tc>
        <w:tc>
          <w:tcPr>
            <w:tcW w:type="dxa" w:w="2718"/>
          </w:tcPr>
          <w:tcPr/>
          <w:p>
            <w:pPr>
              <w:pStyle w:val="Compact"/>
            </w:pPr>
            <w:r>
              <w:rPr>
                <w:lang w:val="fr-FR"/>
              </w:rPr>
              <w:t xml:space="preserve">DPA Vercel, EU-US DPF</w:t>
            </w:r>
          </w:p>
        </w:tc>
      </w:tr>
      <w:tr>
        <w:tc>
          <w:tcPr>
            <w:tcW w:type="dxa" w:w="1827"/>
          </w:tcPr>
          <w:tcPr/>
          <w:p>
            <w:pPr>
              <w:pStyle w:val="Compact"/>
            </w:pPr>
            <w:r>
              <w:rPr>
                <w:lang w:val="fr-FR"/>
              </w:rPr>
              <w:t xml:space="preserve">Sentry</w:t>
            </w:r>
          </w:p>
        </w:tc>
        <w:tc>
          <w:tcPr>
            <w:tcW w:type="dxa" w:w="3007"/>
          </w:tcPr>
          <w:tcPr/>
          <w:p>
            <w:pPr>
              <w:pStyle w:val="Compact"/>
            </w:pPr>
            <w:r>
              <w:rPr>
                <w:lang w:val="fr-FR"/>
              </w:rPr>
              <w:t xml:space="preserve">Monitoring d’erreurs, incluant l’enregistrement de sessions de l’interface enseignant (10 % des sessions, 100 % en cas d’erreur)</w:t>
            </w:r>
          </w:p>
        </w:tc>
        <w:tc>
          <w:tcPr>
            <w:tcW w:type="dxa" w:w="2083"/>
          </w:tcPr>
          <w:tcPr/>
          <w:p>
            <w:pPr>
              <w:pStyle w:val="Compact"/>
            </w:pPr>
            <w:r>
              <w:rPr>
                <w:lang w:val="fr-FR"/>
              </w:rPr>
              <w:t xml:space="preserve">UE (Francfort)</w:t>
            </w:r>
          </w:p>
        </w:tc>
        <w:tc>
          <w:tcPr>
            <w:tcW w:type="dxa" w:w="2718"/>
          </w:tcPr>
          <w:tcPr/>
          <w:p>
            <w:pPr>
              <w:pStyle w:val="Compact"/>
            </w:pPr>
            <w:r>
              <w:rPr>
                <w:lang w:val="fr-FR"/>
              </w:rPr>
              <w:t xml:space="preserve">SOC 2 Type II, filtrage des données personnelles, texte masqué et médias bloqués dans les enregistrements, conservation 30 jours</w:t>
            </w:r>
          </w:p>
        </w:tc>
      </w:tr>
      <w:tr>
        <w:tc>
          <w:tcPr>
            <w:tcW w:type="dxa" w:w="1827"/>
          </w:tcPr>
          <w:tcPr/>
          <w:p>
            <w:pPr>
              <w:pStyle w:val="Compact"/>
            </w:pPr>
            <w:r>
              <w:rPr>
                <w:lang w:val="fr-FR"/>
              </w:rPr>
              <w:t xml:space="preserve">Anthropic</w:t>
            </w:r>
          </w:p>
        </w:tc>
        <w:tc>
          <w:tcPr>
            <w:tcW w:type="dxa" w:w="3007"/>
          </w:tcPr>
          <w:tcPr/>
          <w:p>
            <w:pPr>
              <w:pStyle w:val="Compact"/>
            </w:pPr>
            <w:r>
              <w:rPr>
                <w:lang w:val="fr-FR"/>
              </w:rPr>
              <w:t xml:space="preserve">Outil IA de développement (données de débogage ponctuelles)</w:t>
            </w:r>
          </w:p>
        </w:tc>
        <w:tc>
          <w:tcPr>
            <w:tcW w:type="dxa" w:w="2083"/>
          </w:tcPr>
          <w:tcPr/>
          <w:p>
            <w:pPr>
              <w:pStyle w:val="Compact"/>
            </w:pPr>
            <w:r>
              <w:rPr>
                <w:lang w:val="fr-FR"/>
              </w:rPr>
              <w:t xml:space="preserve">USA</w:t>
            </w:r>
          </w:p>
        </w:tc>
        <w:tc>
          <w:tcPr>
            <w:tcW w:type="dxa" w:w="2718"/>
          </w:tcPr>
          <w:tcPr/>
          <w:p>
            <w:pPr>
              <w:pStyle w:val="Compact"/>
            </w:pPr>
            <w:r>
              <w:rPr>
                <w:lang w:val="fr-FR"/>
              </w:rPr>
              <w:t xml:space="preserve">DPA Anthropic, SCCs art. 46.2.c</w:t>
            </w:r>
          </w:p>
        </w:tc>
      </w:tr>
    </w:tbl>
    <w:p>
      <w:pPr>
        <w:pStyle w:val="BodyText"/>
      </w:pPr>
      <w:r>
        <w:rPr>
          <w:lang w:val="fr-FR"/>
        </w:rPr>
        <w:t xml:space="preserve">Les prestataires qui ne traitent que les données de compte et d’abonnement de l’enseignant relèvent de l’article 2.5 et sont hors périmètre du présent accord : les prestataires de paiement (Stripe pour les abonnés français, LemonSqueezy hors France) et les deux prestataires d’envoi d’emails : Brevo (Sendinblue, France, UE), qui achemine les emails de service et les campagnes d’information, et Resend, Inc. (UE), qui achemine les emails transactionnels liés au compte (lot de corrections prêt, événements d’abonnement, secours du code d’inscription). Aucune donnée d’élève ne leur est transmise.</w:t>
      </w:r>
    </w:p>
    <w:p>
      <w:pPr>
        <w:pStyle w:val="BodyText"/>
      </w:pPr>
      <w:r>
        <w:rPr>
          <w:lang w:val="fr-FR"/>
        </w:rPr>
        <w:t xml:space="preserve">Tout nouveau sous-traitant ultérieur sera notifié au Responsable de traitement avec un délai de</w:t>
      </w:r>
      <w:r>
        <w:rPr>
          <w:lang w:val="fr-FR"/>
        </w:rPr>
        <w:t xml:space="preserve"> </w:t>
      </w:r>
      <w:r>
        <w:rPr>
          <w:b/>
          <w:bCs/>
          <w:lang w:val="fr-FR"/>
        </w:rPr>
        <w:t xml:space="preserve">30 jours</w:t>
      </w:r>
      <w:r>
        <w:rPr>
          <w:lang w:val="fr-FR"/>
        </w:rPr>
        <w:t xml:space="preserve"> </w:t>
      </w:r>
      <w:r>
        <w:rPr>
          <w:lang w:val="fr-FR"/>
        </w:rPr>
        <w:t xml:space="preserve">pour s’y opposer.</w:t>
      </w:r>
    </w:p>
    <w:p>
      <w:r>
        <w:pict>
          <v:rect style="width:0;height:1.5pt" o:hralign="center" o:hrstd="t" o:hr="t"/>
        </w:pict>
      </w:r>
    </w:p>
    <w:bookmarkEnd w:id="30"/>
    <w:bookmarkStart w:id="31" w:name="article-7---durée-de-conservation"/>
    <w:p>
      <w:pPr>
        <w:pStyle w:val="Heading2"/>
      </w:pPr>
      <w:r>
        <w:rPr>
          <w:lang w:val="fr-FR"/>
        </w:rPr>
        <w:t xml:space="preserve">Article 7 - Durée de conservation</w:t>
      </w:r>
    </w:p>
    <w:tbl>
      <w:tblPr>
        <w:tblStyle w:val="Table"/>
        <w:tblW w:type="dxa" w:w="9638"/>
        <w:tblLayout w:type="fixed"/>
        <w:tblLook w:firstRow="1" w:lastRow="0" w:firstColumn="0" w:lastColumn="0" w:noHBand="0" w:noVBand="0" w:val="0020"/>
      </w:tblPr>
      <w:tblGrid>
        <w:gridCol w:w="3859"/>
        <w:gridCol w:w="5778"/>
      </w:tblGrid>
      <w:tr>
        <w:trPr>
          <w:tblHeader w:val="on"/>
        </w:trPr>
        <w:tc>
          <w:tcPr>
            <w:shd w:val="clear" w:color="auto" w:fill="0891B2"/>
            <w:tcW w:type="dxa" w:w="3859"/>
          </w:tcPr>
          <w:tcPr/>
          <w:p>
            <w:pPr>
              <w:pStyle w:val="Compact"/>
            </w:pPr>
            <w:r>
              <w:rPr>
                <w:b/>
                <w:color w:val="FFFFFF"/>
                <w:lang w:val="fr-FR"/>
              </w:rPr>
              <w:t xml:space="preserve">Type de données</w:t>
            </w:r>
          </w:p>
        </w:tc>
        <w:tc>
          <w:tcPr>
            <w:shd w:val="clear" w:color="auto" w:fill="0891B2"/>
            <w:tcW w:type="dxa" w:w="5778"/>
          </w:tcPr>
          <w:tcPr/>
          <w:p>
            <w:pPr>
              <w:pStyle w:val="Compact"/>
            </w:pPr>
            <w:r>
              <w:rPr>
                <w:b/>
                <w:color w:val="FFFFFF"/>
                <w:lang w:val="fr-FR"/>
              </w:rPr>
              <w:t xml:space="preserve">Durée de conservation</w:t>
            </w:r>
          </w:p>
        </w:tc>
      </w:tr>
      <w:tr>
        <w:tc>
          <w:tcPr>
            <w:tcW w:type="dxa" w:w="3859"/>
          </w:tcPr>
          <w:tcPr/>
          <w:p>
            <w:pPr>
              <w:pStyle w:val="Compact"/>
            </w:pPr>
            <w:r>
              <w:rPr>
                <w:lang w:val="fr-FR"/>
              </w:rPr>
              <w:t xml:space="preserve">Copies d’élèves (correction)</w:t>
            </w:r>
          </w:p>
        </w:tc>
        <w:tc>
          <w:tcPr>
            <w:tcW w:type="dxa" w:w="5778"/>
          </w:tcPr>
          <w:tcPr/>
          <w:p>
            <w:pPr>
              <w:pStyle w:val="Compact"/>
            </w:pPr>
            <w:r>
              <w:rPr>
                <w:b/>
                <w:bCs/>
                <w:lang w:val="fr-FR"/>
              </w:rPr>
              <w:t xml:space="preserve">30 jours après la correction</w:t>
            </w:r>
            <w:r>
              <w:rPr>
                <w:lang w:val="fr-FR"/>
              </w:rPr>
              <w:t xml:space="preserve"> </w:t>
            </w:r>
            <w:r>
              <w:rPr>
                <w:lang w:val="fr-FR"/>
              </w:rPr>
              <w:t xml:space="preserve">(et au plus tard le 31 août), puis suppression automatique</w:t>
            </w:r>
          </w:p>
        </w:tc>
      </w:tr>
      <w:tr>
        <w:tc>
          <w:tcPr>
            <w:tcW w:type="dxa" w:w="3859"/>
          </w:tcPr>
          <w:tcPr/>
          <w:p>
            <w:pPr>
              <w:pStyle w:val="Compact"/>
            </w:pPr>
            <w:r>
              <w:rPr>
                <w:lang w:val="fr-FR"/>
              </w:rPr>
              <w:t xml:space="preserve">Copies d’élèves (dépôts)</w:t>
            </w:r>
          </w:p>
        </w:tc>
        <w:tc>
          <w:tcPr>
            <w:tcW w:type="dxa" w:w="5778"/>
          </w:tcPr>
          <w:tcPr/>
          <w:p>
            <w:pPr>
              <w:pStyle w:val="Compact"/>
            </w:pPr>
            <w:r>
              <w:rPr>
                <w:b/>
                <w:bCs/>
                <w:lang w:val="fr-FR"/>
              </w:rPr>
              <w:t xml:space="preserve">30 jours après la correction</w:t>
            </w:r>
            <w:r>
              <w:rPr>
                <w:lang w:val="fr-FR"/>
              </w:rPr>
              <w:t xml:space="preserve">, puis suppression automatique</w:t>
            </w:r>
          </w:p>
        </w:tc>
      </w:tr>
      <w:tr>
        <w:tc>
          <w:tcPr>
            <w:tcW w:type="dxa" w:w="3859"/>
          </w:tcPr>
          <w:tcPr/>
          <w:p>
            <w:pPr>
              <w:pStyle w:val="Compact"/>
            </w:pPr>
            <w:r>
              <w:rPr>
                <w:lang w:val="fr-FR"/>
              </w:rPr>
              <w:t xml:space="preserve">Corrections et barèmes</w:t>
            </w:r>
          </w:p>
        </w:tc>
        <w:tc>
          <w:tcPr>
            <w:tcW w:type="dxa" w:w="5778"/>
          </w:tcPr>
          <w:tcPr/>
          <w:p>
            <w:pPr>
              <w:pStyle w:val="Compact"/>
            </w:pPr>
            <w:r>
              <w:rPr>
                <w:lang w:val="fr-FR"/>
              </w:rPr>
              <w:t xml:space="preserve">Jusqu’à suppression par l’enseignant ou 2 ans d’inactivité du compte</w:t>
            </w:r>
          </w:p>
        </w:tc>
      </w:tr>
      <w:tr>
        <w:tc>
          <w:tcPr>
            <w:tcW w:type="dxa" w:w="3859"/>
          </w:tcPr>
          <w:tcPr/>
          <w:p>
            <w:pPr>
              <w:pStyle w:val="Compact"/>
            </w:pPr>
            <w:r>
              <w:rPr>
                <w:lang w:val="fr-FR"/>
              </w:rPr>
              <w:t xml:space="preserve">Exercices et réponses élèves</w:t>
            </w:r>
          </w:p>
        </w:tc>
        <w:tc>
          <w:tcPr>
            <w:tcW w:type="dxa" w:w="5778"/>
          </w:tcPr>
          <w:tcPr/>
          <w:p>
            <w:pPr>
              <w:pStyle w:val="Compact"/>
            </w:pPr>
            <w:r>
              <w:rPr>
                <w:lang w:val="fr-FR"/>
              </w:rPr>
              <w:t xml:space="preserve">Jusqu’à suppression par l’enseignant</w:t>
            </w:r>
          </w:p>
        </w:tc>
      </w:tr>
      <w:tr>
        <w:tc>
          <w:tcPr>
            <w:tcW w:type="dxa" w:w="3859"/>
          </w:tcPr>
          <w:tcPr/>
          <w:p>
            <w:pPr>
              <w:pStyle w:val="Compact"/>
            </w:pPr>
            <w:r>
              <w:rPr>
                <w:lang w:val="fr-FR"/>
              </w:rPr>
              <w:t xml:space="preserve">Plans de travail et progression</w:t>
            </w:r>
          </w:p>
        </w:tc>
        <w:tc>
          <w:tcPr>
            <w:tcW w:type="dxa" w:w="5778"/>
          </w:tcPr>
          <w:tcPr/>
          <w:p>
            <w:pPr>
              <w:pStyle w:val="Compact"/>
            </w:pPr>
            <w:r>
              <w:rPr>
                <w:lang w:val="fr-FR"/>
              </w:rPr>
              <w:t xml:space="preserve">Année scolaire + 1 an</w:t>
            </w:r>
          </w:p>
        </w:tc>
      </w:tr>
      <w:tr>
        <w:tc>
          <w:tcPr>
            <w:tcW w:type="dxa" w:w="3859"/>
          </w:tcPr>
          <w:tcPr/>
          <w:p>
            <w:pPr>
              <w:pStyle w:val="Compact"/>
            </w:pPr>
            <w:r>
              <w:rPr>
                <w:lang w:val="fr-FR"/>
              </w:rPr>
              <w:t xml:space="preserve">Publications au portfolio élève</w:t>
            </w:r>
          </w:p>
        </w:tc>
        <w:tc>
          <w:tcPr>
            <w:tcW w:type="dxa" w:w="5778"/>
          </w:tcPr>
          <w:tcPr/>
          <w:p>
            <w:pPr>
              <w:pStyle w:val="Compact"/>
            </w:pPr>
            <w:r>
              <w:rPr>
                <w:lang w:val="fr-FR"/>
              </w:rPr>
              <w:t xml:space="preserve">Jusqu’au 31 août de l’année scolaire en cours</w:t>
            </w:r>
          </w:p>
        </w:tc>
      </w:tr>
      <w:tr>
        <w:tc>
          <w:tcPr>
            <w:tcW w:type="dxa" w:w="3859"/>
          </w:tcPr>
          <w:tcPr/>
          <w:p>
            <w:pPr>
              <w:pStyle w:val="Compact"/>
            </w:pPr>
            <w:r>
              <w:rPr>
                <w:lang w:val="fr-FR"/>
              </w:rPr>
              <w:t xml:space="preserve">TeacherStudio (sources, générations)</w:t>
            </w:r>
          </w:p>
        </w:tc>
        <w:tc>
          <w:tcPr>
            <w:tcW w:type="dxa" w:w="5778"/>
          </w:tcPr>
          <w:tcPr/>
          <w:p>
            <w:pPr>
              <w:pStyle w:val="Compact"/>
            </w:pPr>
            <w:r>
              <w:rPr>
                <w:lang w:val="fr-FR"/>
              </w:rPr>
              <w:t xml:space="preserve">Jusqu’à suppression par l’enseignant ou 3 ans maximum</w:t>
            </w:r>
          </w:p>
        </w:tc>
      </w:tr>
      <w:tr>
        <w:tc>
          <w:tcPr>
            <w:tcW w:type="dxa" w:w="3859"/>
          </w:tcPr>
          <w:tcPr/>
          <w:p>
            <w:pPr>
              <w:pStyle w:val="Compact"/>
            </w:pPr>
            <w:r>
              <w:rPr>
                <w:lang w:val="fr-FR"/>
              </w:rPr>
              <w:t xml:space="preserve">Logs IA</w:t>
            </w:r>
          </w:p>
        </w:tc>
        <w:tc>
          <w:tcPr>
            <w:tcW w:type="dxa" w:w="5778"/>
          </w:tcPr>
          <w:tcPr/>
          <w:p>
            <w:pPr>
              <w:pStyle w:val="Compact"/>
            </w:pPr>
            <w:r>
              <w:rPr>
                <w:lang w:val="fr-FR"/>
              </w:rPr>
              <w:t xml:space="preserve">12 mois</w:t>
            </w:r>
          </w:p>
        </w:tc>
      </w:tr>
      <w:tr>
        <w:tc>
          <w:tcPr>
            <w:tcW w:type="dxa" w:w="3859"/>
          </w:tcPr>
          <w:tcPr/>
          <w:p>
            <w:pPr>
              <w:pStyle w:val="Compact"/>
            </w:pPr>
            <w:r>
              <w:rPr>
                <w:lang w:val="fr-FR"/>
              </w:rPr>
              <w:t xml:space="preserve">Logs d’audit</w:t>
            </w:r>
          </w:p>
        </w:tc>
        <w:tc>
          <w:tcPr>
            <w:tcW w:type="dxa" w:w="5778"/>
          </w:tcPr>
          <w:tcPr/>
          <w:p>
            <w:pPr>
              <w:pStyle w:val="Compact"/>
            </w:pPr>
            <w:r>
              <w:rPr>
                <w:lang w:val="fr-FR"/>
              </w:rPr>
              <w:t xml:space="preserve">24 mois</w:t>
            </w:r>
          </w:p>
        </w:tc>
      </w:tr>
    </w:tbl>
    <w:p>
      <w:r>
        <w:pict>
          <v:rect style="width:0;height:1.5pt" o:hralign="center" o:hrstd="t" o:hr="t"/>
        </w:pict>
      </w:r>
    </w:p>
    <w:bookmarkEnd w:id="31"/>
    <w:bookmarkStart w:id="32" w:name="Xb814af1c2476f4cbd1d97bb7cf0d81cdb192be1"/>
    <w:p>
      <w:pPr>
        <w:pStyle w:val="Heading2"/>
      </w:pPr>
      <w:r>
        <w:rPr>
          <w:lang w:val="fr-FR"/>
        </w:rPr>
        <w:t xml:space="preserve">Article 8 - Sort des données en fin d’accord</w:t>
      </w:r>
    </w:p>
    <w:p>
      <w:pPr>
        <w:pStyle w:val="FirstParagraph"/>
      </w:pPr>
      <w:r>
        <w:rPr>
          <w:lang w:val="fr-FR"/>
        </w:rPr>
        <w:t xml:space="preserve">En cas de fin d’utilisation du service par les enseignants autorisés ou de résiliation du présent accord :</w:t>
      </w:r>
    </w:p>
    <w:p>
      <w:pPr>
        <w:pStyle w:val="Compact"/>
        <w:numPr>
          <w:ilvl w:val="0"/>
          <w:numId w:val="1010"/>
        </w:numPr>
      </w:pPr>
      <w:r>
        <w:rPr>
          <w:b/>
          <w:bCs/>
          <w:lang w:val="fr-FR"/>
        </w:rPr>
        <w:t xml:space="preserve">Export</w:t>
      </w:r>
      <w:r>
        <w:rPr>
          <w:lang w:val="fr-FR"/>
        </w:rPr>
        <w:t xml:space="preserve"> </w:t>
      </w:r>
      <w:r>
        <w:rPr>
          <w:lang w:val="fr-FR"/>
        </w:rPr>
        <w:t xml:space="preserve">: le Sous-traitant fournit sur demande l’ensemble des données relevant du présent accord dans un format structuré (JSON/CSV) sous 30 jours</w:t>
      </w:r>
    </w:p>
    <w:p>
      <w:pPr>
        <w:pStyle w:val="Compact"/>
        <w:numPr>
          <w:ilvl w:val="0"/>
          <w:numId w:val="1010"/>
        </w:numPr>
      </w:pPr>
      <w:r>
        <w:rPr>
          <w:b/>
          <w:bCs/>
          <w:lang w:val="fr-FR"/>
        </w:rPr>
        <w:t xml:space="preserve">Suppression</w:t>
      </w:r>
      <w:r>
        <w:rPr>
          <w:lang w:val="fr-FR"/>
        </w:rPr>
        <w:t xml:space="preserve"> </w:t>
      </w:r>
      <w:r>
        <w:rPr>
          <w:lang w:val="fr-FR"/>
        </w:rPr>
        <w:t xml:space="preserve">: les données sont supprimées des systèmes du Sous-traitant sous 30 jours (ou selon les durées de l’article 7 si elles sont plus courtes)</w:t>
      </w:r>
    </w:p>
    <w:p>
      <w:pPr>
        <w:pStyle w:val="Compact"/>
        <w:numPr>
          <w:ilvl w:val="0"/>
          <w:numId w:val="1010"/>
        </w:numPr>
      </w:pPr>
      <w:r>
        <w:rPr>
          <w:b/>
          <w:bCs/>
          <w:lang w:val="fr-FR"/>
        </w:rPr>
        <w:t xml:space="preserve">Attestation</w:t>
      </w:r>
      <w:r>
        <w:rPr>
          <w:lang w:val="fr-FR"/>
        </w:rPr>
        <w:t xml:space="preserve"> </w:t>
      </w:r>
      <w:r>
        <w:rPr>
          <w:lang w:val="fr-FR"/>
        </w:rPr>
        <w:t xml:space="preserve">: une attestation de suppression est fournie sur demande</w:t>
      </w:r>
    </w:p>
    <w:p>
      <w:pPr>
        <w:pStyle w:val="BlockText"/>
      </w:pPr>
      <w:r>
        <w:rPr>
          <w:b/>
          <w:bCs/>
          <w:lang w:val="fr-FR"/>
        </w:rPr>
        <w:t xml:space="preserve">Exception</w:t>
      </w:r>
      <w:r>
        <w:rPr>
          <w:lang w:val="fr-FR"/>
        </w:rPr>
        <w:t xml:space="preserve"> </w:t>
      </w:r>
      <w:r>
        <w:rPr>
          <w:lang w:val="fr-FR"/>
        </w:rPr>
        <w:t xml:space="preserve">: les logs d’audit sont conservés selon les durées légales puis supprimés automatiquement.</w:t>
      </w:r>
    </w:p>
    <w:p>
      <w:r>
        <w:pict>
          <v:rect style="width:0;height:1.5pt" o:hralign="center" o:hrstd="t" o:hr="t"/>
        </w:pict>
      </w:r>
    </w:p>
    <w:bookmarkEnd w:id="32"/>
    <w:bookmarkStart w:id="33" w:name="article-9---notification-des-violations"/>
    <w:p>
      <w:pPr>
        <w:pStyle w:val="Heading2"/>
      </w:pPr>
      <w:r>
        <w:rPr>
          <w:lang w:val="fr-FR"/>
        </w:rPr>
        <w:t xml:space="preserve">Article 9 - Notification des violations</w:t>
      </w:r>
    </w:p>
    <w:p>
      <w:pPr>
        <w:pStyle w:val="FirstParagraph"/>
      </w:pPr>
      <w:r>
        <w:rPr>
          <w:lang w:val="fr-FR"/>
        </w:rPr>
        <w:t xml:space="preserve">En cas de violation de données à caractère personnel, le Sous-traitant s’engage à :</w:t>
      </w:r>
    </w:p>
    <w:p>
      <w:pPr>
        <w:pStyle w:val="Compact"/>
        <w:numPr>
          <w:ilvl w:val="0"/>
          <w:numId w:val="1011"/>
        </w:numPr>
      </w:pPr>
      <w:r>
        <w:rPr>
          <w:lang w:val="fr-FR"/>
        </w:rPr>
        <w:t xml:space="preserve">Notifier le Responsable de traitement dans un délai de</w:t>
      </w:r>
      <w:r>
        <w:rPr>
          <w:lang w:val="fr-FR"/>
        </w:rPr>
        <w:t xml:space="preserve"> </w:t>
      </w:r>
      <w:r>
        <w:rPr>
          <w:b/>
          <w:bCs/>
          <w:lang w:val="fr-FR"/>
        </w:rPr>
        <w:t xml:space="preserve">24 heures</w:t>
      </w:r>
    </w:p>
    <w:p>
      <w:pPr>
        <w:pStyle w:val="Compact"/>
        <w:numPr>
          <w:ilvl w:val="0"/>
          <w:numId w:val="1011"/>
        </w:numPr>
      </w:pPr>
      <w:r>
        <w:rPr>
          <w:lang w:val="fr-FR"/>
        </w:rPr>
        <w:t xml:space="preserve">Fournir toutes les informations nécessaires (nature, catégories de données, mesures prises)</w:t>
      </w:r>
    </w:p>
    <w:p>
      <w:pPr>
        <w:pStyle w:val="Compact"/>
        <w:numPr>
          <w:ilvl w:val="0"/>
          <w:numId w:val="1011"/>
        </w:numPr>
      </w:pPr>
      <w:r>
        <w:rPr>
          <w:lang w:val="fr-FR"/>
        </w:rPr>
        <w:t xml:space="preserve">Coopérer à la notification à la CNIL si nécessaire (72 h)</w:t>
      </w:r>
    </w:p>
    <w:p>
      <w:pPr>
        <w:pStyle w:val="Compact"/>
        <w:numPr>
          <w:ilvl w:val="0"/>
          <w:numId w:val="1011"/>
        </w:numPr>
      </w:pPr>
      <w:r>
        <w:rPr>
          <w:lang w:val="fr-FR"/>
        </w:rPr>
        <w:t xml:space="preserve">Documenter l’incident dans un registre des violations</w:t>
      </w:r>
    </w:p>
    <w:p>
      <w:r>
        <w:pict>
          <v:rect style="width:0;height:1.5pt" o:hralign="center" o:hrstd="t" o:hr="t"/>
        </w:pict>
      </w:r>
    </w:p>
    <w:bookmarkEnd w:id="33"/>
    <w:bookmarkStart w:id="34" w:name="article-10---audit-et-contrôle"/>
    <w:p>
      <w:pPr>
        <w:pStyle w:val="Heading2"/>
      </w:pPr>
      <w:r>
        <w:rPr>
          <w:lang w:val="fr-FR"/>
        </w:rPr>
        <w:t xml:space="preserve">Article 10 - Audit et contrôle</w:t>
      </w:r>
    </w:p>
    <w:p>
      <w:pPr>
        <w:pStyle w:val="FirstParagraph"/>
      </w:pPr>
      <w:r>
        <w:rPr>
          <w:lang w:val="fr-FR"/>
        </w:rPr>
        <w:t xml:space="preserve">Le Responsable de traitement peut :</w:t>
      </w:r>
    </w:p>
    <w:p>
      <w:pPr>
        <w:pStyle w:val="Compact"/>
        <w:numPr>
          <w:ilvl w:val="0"/>
          <w:numId w:val="1012"/>
        </w:numPr>
      </w:pPr>
      <w:r>
        <w:rPr>
          <w:lang w:val="fr-FR"/>
        </w:rPr>
        <w:t xml:space="preserve">Demander toute information sur les traitements effectués</w:t>
      </w:r>
    </w:p>
    <w:p>
      <w:pPr>
        <w:pStyle w:val="Compact"/>
        <w:numPr>
          <w:ilvl w:val="0"/>
          <w:numId w:val="1012"/>
        </w:numPr>
      </w:pPr>
      <w:r>
        <w:rPr>
          <w:lang w:val="fr-FR"/>
        </w:rPr>
        <w:t xml:space="preserve">Réaliser ou faire réaliser des audits (avec préavis de 15 jours)</w:t>
      </w:r>
    </w:p>
    <w:p>
      <w:pPr>
        <w:pStyle w:val="Compact"/>
        <w:numPr>
          <w:ilvl w:val="0"/>
          <w:numId w:val="1012"/>
        </w:numPr>
      </w:pPr>
      <w:r>
        <w:rPr>
          <w:lang w:val="fr-FR"/>
        </w:rPr>
        <w:t xml:space="preserve">Accéder aux informations nécessaires pour démontrer le respect des obligations</w:t>
      </w:r>
    </w:p>
    <w:p>
      <w:pPr>
        <w:pStyle w:val="FirstParagraph"/>
      </w:pPr>
      <w:r>
        <w:rPr>
          <w:lang w:val="fr-FR"/>
        </w:rPr>
        <w:t xml:space="preserve">Le Sous-traitant s’engage à mettre à disposition les informations nécessaires pour démontrer le respect des obligations et contribuer aux audits.</w:t>
      </w:r>
    </w:p>
    <w:p>
      <w:r>
        <w:pict>
          <v:rect style="width:0;height:1.5pt" o:hralign="center" o:hrstd="t" o:hr="t"/>
        </w:pict>
      </w:r>
    </w:p>
    <w:bookmarkEnd w:id="34"/>
    <w:bookmarkStart w:id="37" w:name="X2a000f26298e2a63e3a2f31f8eb184f5725161a"/>
    <w:p>
      <w:pPr>
        <w:pStyle w:val="Heading2"/>
      </w:pPr>
      <w:r>
        <w:rPr>
          <w:lang w:val="fr-FR"/>
        </w:rPr>
        <w:t xml:space="preserve">Article 11 - Obligations du Responsable de traitement</w:t>
      </w:r>
    </w:p>
    <w:p>
      <w:pPr>
        <w:pStyle w:val="FirstParagraph"/>
      </w:pPr>
      <w:r>
        <w:rPr>
          <w:lang w:val="fr-FR"/>
        </w:rPr>
        <w:t xml:space="preserve">Le Responsable de traitement s’engage à :</w:t>
      </w:r>
    </w:p>
    <w:p>
      <w:pPr>
        <w:pStyle w:val="Compact"/>
        <w:numPr>
          <w:ilvl w:val="0"/>
          <w:numId w:val="1013"/>
        </w:numPr>
      </w:pPr>
      <w:r>
        <w:rPr>
          <w:lang w:val="fr-FR"/>
        </w:rPr>
        <w:t xml:space="preserve">Informer les personnes concernées (élèves, parents) du traitement ; une notice d’information à destination des familles est fournie par le Sous-traitant</w:t>
      </w:r>
    </w:p>
    <w:p>
      <w:pPr>
        <w:pStyle w:val="Compact"/>
        <w:numPr>
          <w:ilvl w:val="0"/>
          <w:numId w:val="1013"/>
        </w:numPr>
      </w:pPr>
      <w:r>
        <w:rPr>
          <w:lang w:val="fr-FR"/>
        </w:rPr>
        <w:t xml:space="preserve">Inscrire le traitement au registre des activités de traitement de l’établissement</w:t>
      </w:r>
    </w:p>
    <w:p>
      <w:pPr>
        <w:pStyle w:val="Compact"/>
        <w:numPr>
          <w:ilvl w:val="0"/>
          <w:numId w:val="1013"/>
        </w:numPr>
      </w:pPr>
      <w:r>
        <w:rPr>
          <w:lang w:val="fr-FR"/>
        </w:rPr>
        <w:t xml:space="preserve">Réaliser l’analyse d’impact si nécessaire (article 35 du RGPD) ; un modèle pré-rempli est fourni par le Sous-traitant</w:t>
      </w:r>
    </w:p>
    <w:p>
      <w:pPr>
        <w:pStyle w:val="Compact"/>
        <w:numPr>
          <w:ilvl w:val="0"/>
          <w:numId w:val="1013"/>
        </w:numPr>
      </w:pPr>
      <w:r>
        <w:rPr>
          <w:lang w:val="fr-FR"/>
        </w:rPr>
        <w:t xml:space="preserve">Associer son DPO (délégué à la protection des données académique pour les établissements publics)</w:t>
      </w:r>
    </w:p>
    <w:p>
      <w:pPr>
        <w:pStyle w:val="Compact"/>
        <w:numPr>
          <w:ilvl w:val="0"/>
          <w:numId w:val="1013"/>
        </w:numPr>
      </w:pPr>
      <w:r>
        <w:rPr>
          <w:lang w:val="fr-FR"/>
        </w:rPr>
        <w:t xml:space="preserve">Notifier au Sous-traitant toute instruction spécifique concernant le traitement</w:t>
      </w:r>
    </w:p>
    <w:p>
      <w:pPr>
        <w:pStyle w:val="Compact"/>
        <w:numPr>
          <w:ilvl w:val="0"/>
          <w:numId w:val="1013"/>
        </w:numPr>
      </w:pPr>
      <w:r>
        <w:rPr>
          <w:lang w:val="fr-FR"/>
        </w:rPr>
        <w:t xml:space="preserve">Tenir à jour l’Annexe C (liste des enseignants autorisés)</w:t>
      </w:r>
    </w:p>
    <w:bookmarkStart w:id="35" w:name="Xcfb4b433d2aec708c70b8746b6d46823db4f70b"/>
    <w:p>
      <w:pPr>
        <w:pStyle w:val="Heading3"/>
      </w:pPr>
      <w:r>
        <w:rPr>
          <w:lang w:val="fr-FR"/>
        </w:rPr>
        <w:t xml:space="preserve">Règlement IA (AI Act, Règlement UE 2024/1689)</w:t>
      </w:r>
    </w:p>
    <w:p>
      <w:pPr>
        <w:pStyle w:val="FirstParagraph"/>
      </w:pPr>
      <w:r>
        <w:rPr>
          <w:lang w:val="fr-FR"/>
        </w:rPr>
        <w:t xml:space="preserve">EvalIA utilisant l’IA dans un contexte éducatif :</w:t>
      </w:r>
    </w:p>
    <w:p>
      <w:pPr>
        <w:pStyle w:val="Compact"/>
        <w:numPr>
          <w:ilvl w:val="0"/>
          <w:numId w:val="1014"/>
        </w:numPr>
      </w:pPr>
      <w:r>
        <w:rPr>
          <w:lang w:val="fr-FR"/>
        </w:rPr>
        <w:t xml:space="preserve">La fonction de correction de copies relève des systèmes d’IA</w:t>
      </w:r>
      <w:r>
        <w:rPr>
          <w:lang w:val="fr-FR"/>
        </w:rPr>
        <w:t xml:space="preserve"> </w:t>
      </w:r>
      <w:r>
        <w:rPr>
          <w:b/>
          <w:bCs/>
          <w:lang w:val="fr-FR"/>
        </w:rPr>
        <w:t xml:space="preserve">à haut risque</w:t>
      </w:r>
      <w:r>
        <w:rPr>
          <w:lang w:val="fr-FR"/>
        </w:rPr>
        <w:t xml:space="preserve"> </w:t>
      </w:r>
      <w:r>
        <w:rPr>
          <w:lang w:val="fr-FR"/>
        </w:rPr>
        <w:t xml:space="preserve">(Annexe III, point 3.b : évaluation des acquis d’apprentissage)</w:t>
      </w:r>
    </w:p>
    <w:p>
      <w:pPr>
        <w:pStyle w:val="Compact"/>
        <w:numPr>
          <w:ilvl w:val="0"/>
          <w:numId w:val="1014"/>
        </w:numPr>
      </w:pPr>
      <w:r>
        <w:rPr>
          <w:lang w:val="fr-FR"/>
        </w:rPr>
        <w:t xml:space="preserve">Le Responsable de traitement (établissement) est le</w:t>
      </w:r>
      <w:r>
        <w:rPr>
          <w:lang w:val="fr-FR"/>
        </w:rPr>
        <w:t xml:space="preserve"> </w:t>
      </w:r>
      <w:r>
        <w:rPr>
          <w:b/>
          <w:bCs/>
          <w:lang w:val="fr-FR"/>
        </w:rPr>
        <w:t xml:space="preserve">déployeur</w:t>
      </w:r>
      <w:r>
        <w:rPr>
          <w:lang w:val="fr-FR"/>
        </w:rPr>
        <w:t xml:space="preserve"> </w:t>
      </w:r>
      <w:r>
        <w:rPr>
          <w:lang w:val="fr-FR"/>
        </w:rPr>
        <w:t xml:space="preserve">au sens du Règlement IA (article 3.4)</w:t>
      </w:r>
    </w:p>
    <w:p>
      <w:pPr>
        <w:pStyle w:val="Compact"/>
        <w:numPr>
          <w:ilvl w:val="0"/>
          <w:numId w:val="1014"/>
        </w:numPr>
      </w:pPr>
      <w:r>
        <w:rPr>
          <w:lang w:val="fr-FR"/>
        </w:rPr>
        <w:t xml:space="preserve">L’éditeur (Sous-traitant) est le</w:t>
      </w:r>
      <w:r>
        <w:rPr>
          <w:lang w:val="fr-FR"/>
        </w:rPr>
        <w:t xml:space="preserve"> </w:t>
      </w:r>
      <w:r>
        <w:rPr>
          <w:b/>
          <w:bCs/>
          <w:lang w:val="fr-FR"/>
        </w:rPr>
        <w:t xml:space="preserve">fournisseur</w:t>
      </w:r>
      <w:r>
        <w:rPr>
          <w:lang w:val="fr-FR"/>
        </w:rPr>
        <w:t xml:space="preserve"> </w:t>
      </w:r>
      <w:r>
        <w:rPr>
          <w:lang w:val="fr-FR"/>
        </w:rPr>
        <w:t xml:space="preserve">au sens du Règlement IA (article 3.3)</w:t>
      </w:r>
    </w:p>
    <w:p>
      <w:pPr>
        <w:pStyle w:val="Compact"/>
        <w:numPr>
          <w:ilvl w:val="0"/>
          <w:numId w:val="1014"/>
        </w:numPr>
      </w:pPr>
      <w:r>
        <w:rPr>
          <w:lang w:val="fr-FR"/>
        </w:rPr>
        <w:t xml:space="preserve">Le fournisseur met à disposition du déployeur la documentation technique nécessaire (Annexe AI Act, AIPD modèle)</w:t>
      </w:r>
    </w:p>
    <w:p>
      <w:pPr>
        <w:pStyle w:val="FirstParagraph"/>
      </w:pPr>
      <w:r>
        <w:rPr>
          <w:b/>
          <w:bCs/>
          <w:lang w:val="fr-FR"/>
        </w:rPr>
        <w:t xml:space="preserve">Calendrier</w:t>
      </w:r>
      <w:r>
        <w:rPr>
          <w:lang w:val="fr-FR"/>
        </w:rPr>
        <w:t xml:space="preserve"> </w:t>
      </w:r>
      <w:r>
        <w:rPr>
          <w:lang w:val="fr-FR"/>
        </w:rPr>
        <w:t xml:space="preserve">: les obligations des systèmes à haut risque de l’Annexe III s’appliquent au</w:t>
      </w:r>
      <w:r>
        <w:rPr>
          <w:lang w:val="fr-FR"/>
        </w:rPr>
        <w:t xml:space="preserve"> </w:t>
      </w:r>
      <w:r>
        <w:rPr>
          <w:b/>
          <w:bCs/>
          <w:lang w:val="fr-FR"/>
        </w:rPr>
        <w:t xml:space="preserve">2 décembre 2027</w:t>
      </w:r>
      <w:r>
        <w:rPr>
          <w:lang w:val="fr-FR"/>
        </w:rPr>
        <w:t xml:space="preserve"> </w:t>
      </w:r>
      <w:r>
        <w:rPr>
          <w:lang w:val="fr-FR"/>
        </w:rPr>
        <w:t xml:space="preserve">(report du paquet « Digital Omnibus », approuvé par le Conseil de l’UE le 29 juin 2026 ; échéance initiale : 2 août 2026). Les obligations de transparence de l’article 50 (les assistants conversationnels se présentent comme des IA) s’appliquent depuis le 2 août 2026 et sont déjà mises en œuvre par le service.</w:t>
      </w:r>
    </w:p>
    <w:bookmarkEnd w:id="35"/>
    <w:bookmarkStart w:id="36" w:name="Xbad2e6ea8b28c37a1225bc0396d9a3d65b78c81"/>
    <w:p>
      <w:pPr>
        <w:pStyle w:val="Heading3"/>
      </w:pPr>
      <w:r>
        <w:rPr>
          <w:lang w:val="fr-FR"/>
        </w:rPr>
        <w:t xml:space="preserve">Obligations spécifiques du déployeur (article 26 AI Act)</w:t>
      </w:r>
    </w:p>
    <w:p>
      <w:pPr>
        <w:pStyle w:val="FirstParagraph"/>
      </w:pPr>
      <w:r>
        <w:rPr>
          <w:lang w:val="fr-FR"/>
        </w:rPr>
        <w:t xml:space="preserve">L’établissement, en tant que déployeur, doit :</w:t>
      </w:r>
    </w:p>
    <w:p>
      <w:pPr>
        <w:pStyle w:val="Compact"/>
        <w:numPr>
          <w:ilvl w:val="0"/>
          <w:numId w:val="1015"/>
        </w:numPr>
      </w:pPr>
      <w:r>
        <w:rPr>
          <w:b/>
          <w:bCs/>
          <w:lang w:val="fr-FR"/>
        </w:rPr>
        <w:t xml:space="preserve">Utiliser le système conformément aux instructions d’utilisation</w:t>
      </w:r>
      <w:r>
        <w:rPr>
          <w:lang w:val="fr-FR"/>
        </w:rPr>
        <w:t xml:space="preserve"> </w:t>
      </w:r>
      <w:r>
        <w:rPr>
          <w:lang w:val="fr-FR"/>
        </w:rPr>
        <w:t xml:space="preserve">fournies par le fournisseur</w:t>
      </w:r>
    </w:p>
    <w:p>
      <w:pPr>
        <w:pStyle w:val="Compact"/>
        <w:numPr>
          <w:ilvl w:val="0"/>
          <w:numId w:val="1015"/>
        </w:numPr>
      </w:pPr>
      <w:r>
        <w:rPr>
          <w:b/>
          <w:bCs/>
          <w:lang w:val="fr-FR"/>
        </w:rPr>
        <w:t xml:space="preserve">Assurer la supervision humaine</w:t>
      </w:r>
      <w:r>
        <w:rPr>
          <w:lang w:val="fr-FR"/>
        </w:rPr>
        <w:t xml:space="preserve"> </w:t>
      </w:r>
      <w:r>
        <w:rPr>
          <w:lang w:val="fr-FR"/>
        </w:rPr>
        <w:t xml:space="preserve">du système (l’enseignant valide chaque correction IA ; l’architecture du service l’impose)</w:t>
      </w:r>
    </w:p>
    <w:p>
      <w:pPr>
        <w:pStyle w:val="Compact"/>
        <w:numPr>
          <w:ilvl w:val="0"/>
          <w:numId w:val="1015"/>
        </w:numPr>
      </w:pPr>
      <w:r>
        <w:rPr>
          <w:b/>
          <w:bCs/>
          <w:lang w:val="fr-FR"/>
        </w:rPr>
        <w:t xml:space="preserve">Informer les personnes concernées</w:t>
      </w:r>
      <w:r>
        <w:rPr>
          <w:lang w:val="fr-FR"/>
        </w:rPr>
        <w:t xml:space="preserve"> </w:t>
      </w:r>
      <w:r>
        <w:rPr>
          <w:lang w:val="fr-FR"/>
        </w:rPr>
        <w:t xml:space="preserve">(élèves, parents) de l’utilisation d’un système d’IA à haut risque</w:t>
      </w:r>
    </w:p>
    <w:p>
      <w:pPr>
        <w:pStyle w:val="Compact"/>
        <w:numPr>
          <w:ilvl w:val="0"/>
          <w:numId w:val="1015"/>
        </w:numPr>
      </w:pPr>
      <w:r>
        <w:rPr>
          <w:b/>
          <w:bCs/>
          <w:lang w:val="fr-FR"/>
        </w:rPr>
        <w:t xml:space="preserve">Conserver les logs</w:t>
      </w:r>
      <w:r>
        <w:rPr>
          <w:lang w:val="fr-FR"/>
        </w:rPr>
        <w:t xml:space="preserve"> </w:t>
      </w:r>
      <w:r>
        <w:rPr>
          <w:lang w:val="fr-FR"/>
        </w:rPr>
        <w:t xml:space="preserve">pendant au moins 6 mois (conservation automatique par le système)</w:t>
      </w:r>
    </w:p>
    <w:p>
      <w:pPr>
        <w:pStyle w:val="Compact"/>
        <w:numPr>
          <w:ilvl w:val="0"/>
          <w:numId w:val="1015"/>
        </w:numPr>
      </w:pPr>
      <w:r>
        <w:rPr>
          <w:b/>
          <w:bCs/>
          <w:lang w:val="fr-FR"/>
        </w:rPr>
        <w:t xml:space="preserve">Signaler tout incident grave</w:t>
      </w:r>
      <w:r>
        <w:rPr>
          <w:lang w:val="fr-FR"/>
        </w:rPr>
        <w:t xml:space="preserve"> </w:t>
      </w:r>
      <w:r>
        <w:rPr>
          <w:lang w:val="fr-FR"/>
        </w:rPr>
        <w:t xml:space="preserve">au fournisseur et aux autorités compétentes</w:t>
      </w:r>
    </w:p>
    <w:p>
      <w:r>
        <w:pict>
          <v:rect style="width:0;height:1.5pt" o:hralign="center" o:hrstd="t" o:hr="t"/>
        </w:pict>
      </w:r>
    </w:p>
    <w:bookmarkEnd w:id="36"/>
    <w:bookmarkEnd w:id="37"/>
    <w:bookmarkStart w:id="38" w:name="article-12---responsabilité"/>
    <w:p>
      <w:pPr>
        <w:pStyle w:val="Heading2"/>
      </w:pPr>
      <w:r>
        <w:rPr>
          <w:lang w:val="fr-FR"/>
        </w:rPr>
        <w:t xml:space="preserve">Article 12 - Responsabilité</w:t>
      </w:r>
    </w:p>
    <w:p>
      <w:pPr>
        <w:pStyle w:val="FirstParagraph"/>
      </w:pPr>
      <w:r>
        <w:rPr>
          <w:lang w:val="fr-FR"/>
        </w:rPr>
        <w:t xml:space="preserve">Chaque Partie est responsable des dommages causés par un traitement non conforme au RGPD.</w:t>
      </w:r>
    </w:p>
    <w:p>
      <w:pPr>
        <w:pStyle w:val="BodyText"/>
      </w:pPr>
      <w:r>
        <w:rPr>
          <w:lang w:val="fr-FR"/>
        </w:rPr>
        <w:t xml:space="preserve">Le Sous-traitant ne répond des dommages que s’il n’a pas respecté ses obligations spécifiques ou s’il a agi en dehors des instructions du Responsable de traitement.</w:t>
      </w:r>
    </w:p>
    <w:p>
      <w:r>
        <w:pict>
          <v:rect style="width:0;height:1.5pt" o:hralign="center" o:hrstd="t" o:hr="t"/>
        </w:pict>
      </w:r>
    </w:p>
    <w:bookmarkEnd w:id="38"/>
    <w:bookmarkStart w:id="39" w:name="article-13---droit-applicable"/>
    <w:p>
      <w:pPr>
        <w:pStyle w:val="Heading2"/>
      </w:pPr>
      <w:r>
        <w:rPr>
          <w:lang w:val="fr-FR"/>
        </w:rPr>
        <w:t xml:space="preserve">Article 13 - Droit applicable</w:t>
      </w:r>
    </w:p>
    <w:p>
      <w:pPr>
        <w:pStyle w:val="FirstParagraph"/>
      </w:pPr>
      <w:r>
        <w:rPr>
          <w:lang w:val="fr-FR"/>
        </w:rPr>
        <w:t xml:space="preserve">Le présent accord est soumis au droit français. En cas de litige, les tribunaux français sont compétents.</w:t>
      </w:r>
    </w:p>
    <w:p>
      <w:r>
        <w:pict>
          <v:rect style="width:0;height:1.5pt" o:hralign="center" o:hrstd="t" o:hr="t"/>
        </w:pict>
      </w:r>
    </w:p>
    <w:bookmarkEnd w:id="39"/>
    <w:bookmarkStart w:id="40" w:name="X8da7cf5e49b73061e948ee33866340ab179296e"/>
    <w:p>
      <w:pPr>
        <w:pStyle w:val="Heading2"/>
      </w:pPr>
      <w:r>
        <w:rPr>
          <w:lang w:val="fr-FR"/>
        </w:rPr>
        <w:t xml:space="preserve">Article 14 - Signature et entrée en vigueur</w:t>
      </w:r>
    </w:p>
    <w:p>
      <w:pPr>
        <w:pStyle w:val="FirstParagraph"/>
      </w:pPr>
      <w:r>
        <w:rPr>
          <w:lang w:val="fr-FR"/>
        </w:rPr>
        <w:t xml:space="preserve">Le présent accord entre en vigueur à la date de signature par les deux Parties. Il reste valable tant qu’au moins un enseignant listé en Annexe C utilise le service, sauf résiliation par l’une des Parties avec un préavis d’un mois.</w:t>
      </w:r>
    </w:p>
    <w:p>
      <w:r>
        <w:pict>
          <v:rect style="width:0;height:1.5pt" o:hralign="center" o:hrstd="t" o:hr="t"/>
        </w:pict>
      </w:r>
    </w:p>
    <w:bookmarkEnd w:id="40"/>
    <w:bookmarkStart w:id="43" w:name="signatures"/>
    <w:p>
      <w:pPr>
        <w:pStyle w:val="Heading2"/>
      </w:pPr>
      <w:r>
        <w:rPr>
          <w:lang w:val="fr-FR"/>
        </w:rPr>
        <w:t xml:space="preserve">Signatures</w:t>
      </w:r>
    </w:p>
    <w:bookmarkStart w:id="41" w:name="X978a674f16e6149e87f733d3d9b4395d83e8393"/>
    <w:p>
      <w:pPr>
        <w:pStyle w:val="Heading3"/>
      </w:pPr>
      <w:r>
        <w:rPr>
          <w:lang w:val="fr-FR"/>
        </w:rPr>
        <w:t xml:space="preserve">Pour le Responsable de traitement (Établissement)</w:t>
      </w:r>
    </w:p>
    <w:p>
      <w:pPr>
        <w:pStyle w:val="FirstParagraph"/>
      </w:pPr>
      <w:r>
        <w:rPr>
          <w:b/>
          <w:bCs/>
          <w:lang w:val="fr-FR"/>
        </w:rPr>
        <w:t xml:space="preserve">Nom et prénom :</w:t>
      </w:r>
      <w:r>
        <w:rPr>
          <w:lang w:val="fr-FR"/>
        </w:rPr>
        <w:t xml:space="preserve"> </w:t>
      </w:r>
      <w:r>
        <w:rPr>
          <w:lang w:val="fr-FR"/>
        </w:rPr>
        <w:t xml:space="preserve">_______________________________________________</w:t>
      </w:r>
    </w:p>
    <w:p>
      <w:pPr>
        <w:pStyle w:val="BodyText"/>
      </w:pPr>
      <w:r>
        <w:rPr>
          <w:b/>
          <w:bCs/>
          <w:lang w:val="fr-FR"/>
        </w:rPr>
        <w:t xml:space="preserve">Fonction :</w:t>
      </w:r>
      <w:r>
        <w:rPr>
          <w:lang w:val="fr-FR"/>
        </w:rPr>
        <w:t xml:space="preserve"> </w:t>
      </w:r>
      <w:r>
        <w:rPr>
          <w:lang w:val="fr-FR"/>
        </w:rPr>
        <w:t xml:space="preserve">_______________________________________________</w:t>
      </w:r>
    </w:p>
    <w:p>
      <w:pPr>
        <w:pStyle w:val="BodyText"/>
      </w:pPr>
      <w:r>
        <w:rPr>
          <w:b/>
          <w:bCs/>
          <w:lang w:val="fr-FR"/>
        </w:rPr>
        <w:t xml:space="preserve">Date :</w:t>
      </w:r>
      <w:r>
        <w:rPr>
          <w:lang w:val="fr-FR"/>
        </w:rPr>
        <w:t xml:space="preserve"> </w:t>
      </w:r>
      <w:r>
        <w:rPr>
          <w:lang w:val="fr-FR"/>
        </w:rPr>
        <w:t xml:space="preserve">_______________________________________________</w:t>
      </w:r>
    </w:p>
    <w:p>
      <w:pPr>
        <w:pStyle w:val="BodyText"/>
      </w:pPr>
      <w:r>
        <w:rPr>
          <w:b/>
          <w:bCs/>
          <w:lang w:val="fr-FR"/>
        </w:rPr>
        <w:t xml:space="preserve">Signature :</w:t>
      </w:r>
    </w:p>
    <w:bookmarkEnd w:id="41"/>
    <w:bookmarkStart w:id="42" w:name="pour-le-sous-traitant-evalia"/>
    <w:p>
      <w:pPr>
        <w:pStyle w:val="Heading3"/>
      </w:pPr>
      <w:r>
        <w:rPr>
          <w:lang w:val="fr-FR"/>
        </w:rPr>
        <w:t xml:space="preserve">Pour le Sous-traitant (EvalIA)</w:t>
      </w:r>
    </w:p>
    <w:p>
      <w:pPr>
        <w:pStyle w:val="FirstParagraph"/>
      </w:pPr>
      <w:r>
        <w:rPr>
          <w:b/>
          <w:bCs/>
          <w:lang w:val="fr-FR"/>
        </w:rPr>
        <w:t xml:space="preserve">Nom et prénom :</w:t>
      </w:r>
      <w:r>
        <w:rPr>
          <w:lang w:val="fr-FR"/>
        </w:rPr>
        <w:t xml:space="preserve"> </w:t>
      </w:r>
      <w:r>
        <w:rPr>
          <w:lang w:val="fr-FR"/>
        </w:rPr>
        <w:t xml:space="preserve">Thomas Cavil</w:t>
      </w:r>
    </w:p>
    <w:p>
      <w:pPr>
        <w:pStyle w:val="BodyText"/>
      </w:pPr>
      <w:r>
        <w:rPr>
          <w:b/>
          <w:bCs/>
          <w:lang w:val="fr-FR"/>
        </w:rPr>
        <w:t xml:space="preserve">Fonction :</w:t>
      </w:r>
      <w:r>
        <w:rPr>
          <w:lang w:val="fr-FR"/>
        </w:rPr>
        <w:t xml:space="preserve"> </w:t>
      </w:r>
      <w:r>
        <w:rPr>
          <w:lang w:val="fr-FR"/>
        </w:rPr>
        <w:t xml:space="preserve">Éditeur d’EvalIA</w:t>
      </w:r>
    </w:p>
    <w:p>
      <w:pPr>
        <w:pStyle w:val="BodyText"/>
      </w:pPr>
      <w:r>
        <w:rPr>
          <w:b/>
          <w:bCs/>
          <w:lang w:val="fr-FR"/>
        </w:rPr>
        <w:t xml:space="preserve">Date :</w:t>
      </w:r>
      <w:r>
        <w:rPr>
          <w:lang w:val="fr-FR"/>
        </w:rPr>
        <w:t xml:space="preserve"> </w:t>
      </w:r>
      <w:r>
        <w:rPr>
          <w:lang w:val="fr-FR"/>
        </w:rPr>
        <w:t xml:space="preserve">_______________________________________________</w:t>
      </w:r>
    </w:p>
    <w:p>
      <w:pPr>
        <w:pStyle w:val="BodyText"/>
      </w:pPr>
      <w:r>
        <w:rPr>
          <w:b/>
          <w:bCs/>
          <w:lang w:val="fr-FR"/>
        </w:rPr>
        <w:t xml:space="preserve">Signature :</w:t>
      </w:r>
    </w:p>
    <w:p>
      <w:r>
        <w:pict>
          <v:rect style="width:0;height:1.5pt" o:hralign="center" o:hrstd="t" o:hr="t"/>
        </w:pict>
      </w:r>
    </w:p>
    <w:bookmarkEnd w:id="42"/>
    <w:bookmarkEnd w:id="43"/>
    <w:bookmarkStart w:id="44" w:name="annexe-a---contact-dpo-référent-rgpd"/>
    <w:p>
      <w:pPr>
        <w:pStyle w:val="Heading2"/>
      </w:pPr>
      <w:r>
        <w:rPr>
          <w:lang w:val="fr-FR"/>
        </w:rPr>
        <w:t xml:space="preserve">Annexe A - Contact DPO / Référent RGPD</w:t>
      </w:r>
    </w:p>
    <w:p>
      <w:pPr>
        <w:pStyle w:val="FirstParagraph"/>
      </w:pPr>
      <w:r>
        <w:rPr>
          <w:b/>
          <w:bCs/>
          <w:lang w:val="fr-FR"/>
        </w:rPr>
        <w:t xml:space="preserve">Sous-traitant (EvalIA)</w:t>
      </w:r>
    </w:p>
    <w:p>
      <w:pPr>
        <w:pStyle w:val="BodyText"/>
      </w:pPr>
      <w:r>
        <w:rPr>
          <w:lang w:val="fr-FR"/>
        </w:rPr>
        <w:t xml:space="preserve">Référent protection des données : Thomas Cavil</w:t>
      </w:r>
    </w:p>
    <w:p>
      <w:pPr>
        <w:pStyle w:val="BodyText"/>
      </w:pPr>
      <w:r>
        <w:rPr>
          <w:lang w:val="fr-FR"/>
        </w:rPr>
        <w:t xml:space="preserve">Email : contact.EvalIA@oriantation.fr</w:t>
      </w:r>
    </w:p>
    <w:p>
      <w:pPr>
        <w:pStyle w:val="BodyText"/>
      </w:pPr>
      <w:r>
        <w:rPr>
          <w:b/>
          <w:bCs/>
          <w:lang w:val="fr-FR"/>
        </w:rPr>
        <w:t xml:space="preserve">Responsable de traitement (Établissement)</w:t>
      </w:r>
    </w:p>
    <w:p>
      <w:pPr>
        <w:pStyle w:val="BodyText"/>
      </w:pPr>
      <w:r>
        <w:rPr>
          <w:lang w:val="fr-FR"/>
        </w:rPr>
        <w:t xml:space="preserve">DPO académique ou référent RGPD : _______________________________________________</w:t>
      </w:r>
    </w:p>
    <w:p>
      <w:pPr>
        <w:pStyle w:val="BodyText"/>
      </w:pPr>
      <w:r>
        <w:rPr>
          <w:lang w:val="fr-FR"/>
        </w:rPr>
        <w:t xml:space="preserve">Email : _______________________________________________</w:t>
      </w:r>
    </w:p>
    <w:p>
      <w:r>
        <w:pict>
          <v:rect style="width:0;height:1.5pt" o:hralign="center" o:hrstd="t" o:hr="t"/>
        </w:pict>
      </w:r>
    </w:p>
    <w:bookmarkEnd w:id="44"/>
    <w:bookmarkStart w:id="45" w:name="annexe-b---documents-de-référence"/>
    <w:p>
      <w:pPr>
        <w:pStyle w:val="Heading2"/>
      </w:pPr>
      <w:r>
        <w:rPr>
          <w:lang w:val="fr-FR"/>
        </w:rPr>
        <w:t xml:space="preserve">Annexe B - Documents de référence</w:t>
      </w:r>
    </w:p>
    <w:p>
      <w:pPr>
        <w:pStyle w:val="Compact"/>
        <w:numPr>
          <w:ilvl w:val="0"/>
          <w:numId w:val="1016"/>
        </w:numPr>
      </w:pPr>
      <w:r>
        <w:rPr>
          <w:lang w:val="fr-FR"/>
        </w:rPr>
        <w:t xml:space="preserve">Politique de confidentialité EvalIA : https://evalia.oriantation.fr/politique-confidentialite</w:t>
      </w:r>
    </w:p>
    <w:p>
      <w:pPr>
        <w:pStyle w:val="Compact"/>
        <w:numPr>
          <w:ilvl w:val="0"/>
          <w:numId w:val="1016"/>
        </w:numPr>
      </w:pPr>
      <w:r>
        <w:rPr>
          <w:lang w:val="fr-FR"/>
        </w:rPr>
        <w:t xml:space="preserve">Mentions légales et CGU : https://evalia.oriantation.fr/mentions-legales</w:t>
      </w:r>
    </w:p>
    <w:p>
      <w:pPr>
        <w:pStyle w:val="Compact"/>
        <w:numPr>
          <w:ilvl w:val="0"/>
          <w:numId w:val="1016"/>
        </w:numPr>
      </w:pPr>
      <w:r>
        <w:rPr>
          <w:lang w:val="fr-FR"/>
        </w:rPr>
        <w:t xml:space="preserve">Notice d’information à destination des familles (fournie avec le présent accord)</w:t>
      </w:r>
    </w:p>
    <w:p>
      <w:pPr>
        <w:pStyle w:val="Compact"/>
        <w:numPr>
          <w:ilvl w:val="0"/>
          <w:numId w:val="1016"/>
        </w:numPr>
      </w:pPr>
      <w:r>
        <w:rPr>
          <w:lang w:val="fr-FR"/>
        </w:rPr>
        <w:t xml:space="preserve">Modèle d’AIPD pré-rempli pour l’établissement (fourni avec le présent accord)</w:t>
      </w:r>
    </w:p>
    <w:p>
      <w:pPr>
        <w:pStyle w:val="Compact"/>
        <w:numPr>
          <w:ilvl w:val="0"/>
          <w:numId w:val="1016"/>
        </w:numPr>
      </w:pPr>
      <w:r>
        <w:rPr>
          <w:lang w:val="fr-FR"/>
        </w:rPr>
        <w:t xml:space="preserve">Fiche de registre des traitements pré-remplie (article 30 RGPD, fournie avec le présent accord)</w:t>
      </w:r>
    </w:p>
    <w:p>
      <w:pPr>
        <w:pStyle w:val="Compact"/>
        <w:numPr>
          <w:ilvl w:val="0"/>
          <w:numId w:val="1016"/>
        </w:numPr>
      </w:pPr>
      <w:r>
        <w:rPr>
          <w:lang w:val="fr-FR"/>
        </w:rPr>
        <w:t xml:space="preserve">Trame FRIA pré-remplie (article 27 du règlement IA, fournie par anticipation de l’échéance du 2 décembre 2027)</w:t>
      </w:r>
    </w:p>
    <w:p>
      <w:pPr>
        <w:pStyle w:val="Compact"/>
        <w:numPr>
          <w:ilvl w:val="0"/>
          <w:numId w:val="1016"/>
        </w:numPr>
      </w:pPr>
      <w:r>
        <w:rPr>
          <w:lang w:val="fr-FR"/>
        </w:rPr>
        <w:t xml:space="preserve">AIPD complète de l’éditeur : disponible sur demande</w:t>
      </w:r>
    </w:p>
    <w:p>
      <w:pPr>
        <w:pStyle w:val="Compact"/>
        <w:numPr>
          <w:ilvl w:val="0"/>
          <w:numId w:val="1016"/>
        </w:numPr>
      </w:pPr>
      <w:r>
        <w:rPr>
          <w:lang w:val="fr-FR"/>
        </w:rPr>
        <w:t xml:space="preserve">Annexe AI Act : disponible sur demande</w:t>
      </w:r>
    </w:p>
    <w:p>
      <w:pPr>
        <w:pStyle w:val="Compact"/>
        <w:numPr>
          <w:ilvl w:val="0"/>
          <w:numId w:val="1016"/>
        </w:numPr>
      </w:pPr>
      <w:r>
        <w:rPr>
          <w:lang w:val="fr-FR"/>
        </w:rPr>
        <w:t xml:space="preserve">Extrait du registre des catégories d’activités de traitement (article 30(2)) : disponible sur demande</w:t>
      </w:r>
    </w:p>
    <w:p>
      <w:r>
        <w:pict>
          <v:rect style="width:0;height:1.5pt" o:hralign="center" o:hrstd="t" o:hr="t"/>
        </w:pict>
      </w:r>
    </w:p>
    <w:bookmarkEnd w:id="45"/>
    <w:bookmarkStart w:id="46" w:name="annexe-c---enseignants-autorisés"/>
    <w:p>
      <w:pPr>
        <w:pStyle w:val="Heading2"/>
      </w:pPr>
      <w:r>
        <w:rPr>
          <w:lang w:val="fr-FR"/>
        </w:rPr>
        <w:t xml:space="preserve">Annexe C - Enseignants autorisés</w:t>
      </w:r>
    </w:p>
    <w:tbl>
      <w:tblPr>
        <w:tblStyle w:val="Table"/>
        <w:tblW w:type="dxa" w:w="9638"/>
        <w:tblLayout w:type="fixed"/>
        <w:tblLook w:firstRow="1" w:lastRow="0" w:firstColumn="0" w:lastColumn="0" w:noHBand="0" w:noVBand="0" w:val="0020"/>
      </w:tblPr>
      <w:tblGrid>
        <w:gridCol w:w="1988"/>
        <w:gridCol w:w="1835"/>
        <w:gridCol w:w="2906"/>
        <w:gridCol w:w="2906"/>
      </w:tblGrid>
      <w:tr>
        <w:trPr>
          <w:tblHeader w:val="on"/>
        </w:trPr>
        <w:tc>
          <w:tcPr>
            <w:shd w:val="clear" w:color="auto" w:fill="0891B2"/>
            <w:tcW w:type="dxa" w:w="1988"/>
          </w:tcPr>
          <w:tcPr/>
          <w:p>
            <w:pPr>
              <w:pStyle w:val="Compact"/>
            </w:pPr>
            <w:r>
              <w:rPr>
                <w:b/>
                <w:color w:val="FFFFFF"/>
                <w:lang w:val="fr-FR"/>
              </w:rPr>
              <w:t xml:space="preserve">Nom et prénom</w:t>
            </w:r>
          </w:p>
        </w:tc>
        <w:tc>
          <w:tcPr>
            <w:shd w:val="clear" w:color="auto" w:fill="0891B2"/>
            <w:tcW w:type="dxa" w:w="1835"/>
          </w:tcPr>
          <w:tcPr/>
          <w:p>
            <w:pPr>
              <w:pStyle w:val="Compact"/>
            </w:pPr>
            <w:r>
              <w:rPr>
                <w:b/>
                <w:color w:val="FFFFFF"/>
                <w:lang w:val="fr-FR"/>
              </w:rPr>
              <w:t xml:space="preserve">Discipline</w:t>
            </w:r>
          </w:p>
        </w:tc>
        <w:tc>
          <w:tcPr>
            <w:shd w:val="clear" w:color="auto" w:fill="0891B2"/>
            <w:tcW w:type="dxa" w:w="2906"/>
          </w:tcPr>
          <w:tcPr/>
          <w:p>
            <w:pPr>
              <w:pStyle w:val="Compact"/>
            </w:pPr>
            <w:r>
              <w:rPr>
                <w:b/>
                <w:color w:val="FFFFFF"/>
                <w:lang w:val="fr-FR"/>
              </w:rPr>
              <w:t xml:space="preserve">Email professionnel</w:t>
            </w:r>
          </w:p>
        </w:tc>
        <w:tc>
          <w:tcPr>
            <w:shd w:val="clear" w:color="auto" w:fill="0891B2"/>
            <w:tcW w:type="dxa" w:w="2906"/>
          </w:tcPr>
          <w:tcPr/>
          <w:p>
            <w:pPr>
              <w:pStyle w:val="Compact"/>
            </w:pPr>
            <w:r>
              <w:rPr>
                <w:b/>
                <w:color w:val="FFFFFF"/>
                <w:lang w:val="fr-FR"/>
              </w:rPr>
              <w:t xml:space="preserve">Date d’autorisation</w:t>
            </w:r>
          </w:p>
        </w:tc>
      </w:tr>
      <w:tr>
        <w:tc>
          <w:tcPr>
            <w:tcW w:type="dxa" w:w="1988"/>
          </w:tcPr>
          <w:tcPr/>
          <w:p>
            <w:pPr>
              <w:pStyle w:val="Compact"/>
            </w:pPr>
          </w:p>
        </w:tc>
        <w:tc>
          <w:tcPr>
            <w:tcW w:type="dxa" w:w="1835"/>
          </w:tcPr>
          <w:tcPr/>
          <w:p>
            <w:pPr>
              <w:pStyle w:val="Compact"/>
            </w:pPr>
          </w:p>
        </w:tc>
        <w:tc>
          <w:tcPr>
            <w:tcW w:type="dxa" w:w="2906"/>
          </w:tcPr>
          <w:tcPr/>
          <w:p>
            <w:pPr>
              <w:pStyle w:val="Compact"/>
            </w:pPr>
          </w:p>
        </w:tc>
        <w:tc>
          <w:tcPr>
            <w:tcW w:type="dxa" w:w="2906"/>
          </w:tcPr>
          <w:tcPr/>
          <w:p>
            <w:pPr>
              <w:pStyle w:val="Compact"/>
            </w:pPr>
          </w:p>
        </w:tc>
      </w:tr>
      <w:tr>
        <w:tc>
          <w:tcPr>
            <w:tcW w:type="dxa" w:w="1988"/>
          </w:tcPr>
          <w:tcPr/>
          <w:p>
            <w:pPr>
              <w:pStyle w:val="Compact"/>
            </w:pPr>
          </w:p>
        </w:tc>
        <w:tc>
          <w:tcPr>
            <w:tcW w:type="dxa" w:w="1835"/>
          </w:tcPr>
          <w:tcPr/>
          <w:p>
            <w:pPr>
              <w:pStyle w:val="Compact"/>
            </w:pPr>
          </w:p>
        </w:tc>
        <w:tc>
          <w:tcPr>
            <w:tcW w:type="dxa" w:w="2906"/>
          </w:tcPr>
          <w:tcPr/>
          <w:p>
            <w:pPr>
              <w:pStyle w:val="Compact"/>
            </w:pPr>
          </w:p>
        </w:tc>
        <w:tc>
          <w:tcPr>
            <w:tcW w:type="dxa" w:w="2906"/>
          </w:tcPr>
          <w:tcPr/>
          <w:p>
            <w:pPr>
              <w:pStyle w:val="Compact"/>
            </w:pPr>
          </w:p>
        </w:tc>
      </w:tr>
      <w:tr>
        <w:tc>
          <w:tcPr>
            <w:tcW w:type="dxa" w:w="1988"/>
          </w:tcPr>
          <w:tcPr/>
          <w:p>
            <w:pPr>
              <w:pStyle w:val="Compact"/>
            </w:pPr>
          </w:p>
        </w:tc>
        <w:tc>
          <w:tcPr>
            <w:tcW w:type="dxa" w:w="1835"/>
          </w:tcPr>
          <w:tcPr/>
          <w:p>
            <w:pPr>
              <w:pStyle w:val="Compact"/>
            </w:pPr>
          </w:p>
        </w:tc>
        <w:tc>
          <w:tcPr>
            <w:tcW w:type="dxa" w:w="2906"/>
          </w:tcPr>
          <w:tcPr/>
          <w:p>
            <w:pPr>
              <w:pStyle w:val="Compact"/>
            </w:pPr>
          </w:p>
        </w:tc>
        <w:tc>
          <w:tcPr>
            <w:tcW w:type="dxa" w:w="2906"/>
          </w:tcPr>
          <w:tcPr/>
          <w:p>
            <w:pPr>
              <w:pStyle w:val="Compact"/>
            </w:pPr>
          </w:p>
        </w:tc>
      </w:tr>
      <w:tr>
        <w:tc>
          <w:tcPr>
            <w:tcW w:type="dxa" w:w="1988"/>
          </w:tcPr>
          <w:tcPr/>
          <w:p>
            <w:pPr>
              <w:pStyle w:val="Compact"/>
            </w:pPr>
          </w:p>
        </w:tc>
        <w:tc>
          <w:tcPr>
            <w:tcW w:type="dxa" w:w="1835"/>
          </w:tcPr>
          <w:tcPr/>
          <w:p>
            <w:pPr>
              <w:pStyle w:val="Compact"/>
            </w:pPr>
          </w:p>
        </w:tc>
        <w:tc>
          <w:tcPr>
            <w:tcW w:type="dxa" w:w="2906"/>
          </w:tcPr>
          <w:tcPr/>
          <w:p>
            <w:pPr>
              <w:pStyle w:val="Compact"/>
            </w:pPr>
          </w:p>
        </w:tc>
        <w:tc>
          <w:tcPr>
            <w:tcW w:type="dxa" w:w="2906"/>
          </w:tcPr>
          <w:tcPr/>
          <w:p>
            <w:pPr>
              <w:pStyle w:val="Compact"/>
            </w:pPr>
          </w:p>
        </w:tc>
      </w:tr>
    </w:tbl>
    <w:p>
      <w:pPr>
        <w:pStyle w:val="BodyText"/>
      </w:pPr>
      <w:r>
        <w:rPr>
          <w:lang w:val="fr-FR"/>
        </w:rPr>
        <w:t xml:space="preserve">Cette annexe est tenue à jour par le Responsable de traitement. L’ajout d’un enseignant ne nécessite pas de nouvel accord.</w:t>
      </w:r>
    </w:p>
    <w:p>
      <w:r>
        <w:pict>
          <v:rect style="width:0;height:1.5pt" o:hralign="center" o:hrstd="t" o:hr="t"/>
        </w:pict>
      </w:r>
    </w:p>
    <w:p>
      <w:pPr>
        <w:pStyle w:val="FirstParagraph"/>
      </w:pPr>
      <w:r>
        <w:rPr>
          <w:i/>
          <w:iCs/>
          <w:lang w:val="fr-FR"/>
        </w:rPr>
        <w:t xml:space="preserve">Document préparé par l’éditeur d’EvalIA pour faciliter la mise en conformité des établissements. À valider avec le délégué à la protection des données de l’académie ou de l’établissement.</w:t>
      </w:r>
    </w:p>
    <w:p>
      <w:pPr>
        <w:pStyle w:val="BodyText"/>
      </w:pPr>
      <w:r>
        <w:rPr>
          <w:i/>
          <w:iCs/>
          <w:lang w:val="fr-FR"/>
        </w:rPr>
        <w:t xml:space="preserve">Version 1.5 - 11 septembre 2026</w:t>
      </w:r>
    </w:p>
    <w:bookmarkEnd w:id="46"/>
    <w:bookmarkEnd w:id="47"/>
    <w:sectPr>
      <w:footnotePr>
        <w:numRestart w:val="eachSect"/>
      </w:footnotePr>
      <w:pgSz w:w="11906" w:h="16838"/>
      <w:pgMar w:top="1440" w:right="1134" w:bottom="1440" w:left="1134" w:header="720" w:footer="72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pBdr>
        <w:bottom w:color="0891B2" w:space="4" w:sz="18" w:val="single"/>
      </w:pBdr>
      <w:keepNext/>
      <w:keepLines/>
      <w:spacing w:after="80" w:before="360"/>
      <w:outlineLvl w:val="0"/>
    </w:pPr>
    <w:rPr>
      <w:b/>
      <w:color w:val="1A3263"/>
      <w:sz w:val="40"/>
      <w:szCs w:val="40"/>
    </w:rPr>
  </w:style>
  <w:style w:styleId="Heading2" w:type="paragraph">
    <w:name w:val="heading 2"/>
    <w:basedOn w:val="Normal"/>
    <w:next w:val="BodyText"/>
    <w:link w:val="Heading2Char"/>
    <w:uiPriority w:val="9"/>
    <w:semiHidden/>
    <w:unhideWhenUsed/>
    <w:qFormat/>
    <w:rsid w:val="00A10FD9"/>
    <w:pPr>
      <w:pBdr>
        <w:bottom w:color="0891B2" w:space="2" w:sz="8" w:val="single"/>
      </w:pBdr>
      <w:keepNext/>
      <w:keepLines/>
      <w:spacing w:after="80" w:before="160"/>
      <w:outlineLvl w:val="1"/>
    </w:pPr>
    <w:rPr>
      <w:b/>
      <w:color w:val="0891B2"/>
      <w:sz w:val="28"/>
      <w:szCs w:val="28"/>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color w:val="0891B2"/>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color w:val="334155"/>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fr-FR</dc:language>
  <cp:keywords/>
  <dcterms:created xsi:type="dcterms:W3CDTF">2026-09-11T14:43:35Z</dcterms:created>
  <dcterms:modified xsi:type="dcterms:W3CDTF">2026-09-11T14:43:35Z</dcterms:modified>
</cp:coreProperties>
</file>

<file path=docProps/custom.xml><?xml version="1.0" encoding="utf-8"?>
<Properties xmlns="http://schemas.openxmlformats.org/officeDocument/2006/custom-properties" xmlns:vt="http://schemas.openxmlformats.org/officeDocument/2006/docPropsVTypes"/>
</file>