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Xd03ad93533c0d67768d84c57fb35ed18c703948"/>
    <w:p>
      <w:pPr>
        <w:pStyle w:val="Heading1"/>
      </w:pPr>
      <w:r>
        <w:rPr>
          <w:lang w:val="fr-FR"/>
        </w:rPr>
        <w:t xml:space="preserve">Fiche de registre des activités de traitement</w:t>
      </w:r>
    </w:p>
    <w:bookmarkStart w:id="9" w:name="Xd88463ce61850f325b126a12cb25400ebdec3a9"/>
    <w:p>
      <w:pPr>
        <w:pStyle w:val="Heading2"/>
      </w:pPr>
      <w:r>
        <w:rPr>
          <w:lang w:val="fr-FR"/>
        </w:rPr>
        <w:t xml:space="preserve">Aide à l’évaluation pédagogique assistée par IA (EvalIA)</w:t>
      </w:r>
    </w:p>
    <w:p>
      <w:pPr>
        <w:pStyle w:val="FirstParagraph"/>
      </w:pPr>
      <w:r>
        <w:rPr>
          <w:b/>
          <w:bCs/>
          <w:lang w:val="fr-FR"/>
        </w:rPr>
        <w:t xml:space="preserve">Modèle pré-rempli fourni par l’éditeur, à adapter et valider par l’établissement (article 30 du RGPD).</w:t>
      </w:r>
      <w:r>
        <w:rPr>
          <w:lang w:val="fr-FR"/>
        </w:rPr>
        <w:t xml:space="preserve"> </w:t>
      </w:r>
      <w:r>
        <w:rPr>
          <w:lang w:val="fr-FR"/>
        </w:rPr>
        <w:t xml:space="preserve">Les champs marqués [À COMPLÉTER] sont à renseigner par l’établissement. Cette fiche s’insère dans le registre des activités de traitement tenu par l’établissement ; elle accompagne l’accord de sous-traitance (article 28) et le modèle d’AIPD fournis dans le même kit.</w:t>
      </w:r>
    </w:p>
    <w:p>
      <w:pPr>
        <w:pStyle w:val="BodyText"/>
      </w:pPr>
      <w:r>
        <w:rPr>
          <w:lang w:val="fr-FR"/>
        </w:rPr>
        <w:t xml:space="preserve">Version 1.1, 22 août 2026</w:t>
      </w:r>
    </w:p>
    <w:p>
      <w:r>
        <w:pict>
          <v:rect style="width:0;height:1.5pt" o:hralign="center" o:hrstd="t" o:hr="t"/>
        </w:pict>
      </w:r>
    </w:p>
    <w:bookmarkEnd w:id="9"/>
    <w:bookmarkStart w:id="10" w:name="identification-du-traitement"/>
    <w:p>
      <w:pPr>
        <w:pStyle w:val="Heading2"/>
      </w:pPr>
      <w:r>
        <w:rPr>
          <w:lang w:val="fr-FR"/>
        </w:rPr>
        <w:t xml:space="preserve">1. Identification du traitement</w:t>
      </w:r>
    </w:p>
    <w:tbl>
      <w:tblPr>
        <w:tblStyle w:val="Table"/>
        <w:tblW w:type="dxa" w:w="9638"/>
        <w:tblLayout w:type="fixed"/>
        <w:tblLook w:firstRow="1" w:lastRow="0" w:firstColumn="0" w:lastColumn="0" w:noHBand="0" w:noVBand="0" w:val="0020"/>
      </w:tblPr>
      <w:tblGrid>
        <w:gridCol w:w="3347"/>
        <w:gridCol w:w="6290"/>
      </w:tblGrid>
      <w:tr>
        <w:trPr>
          <w:tblHeader w:val="on"/>
        </w:trPr>
        <w:tc>
          <w:tcPr>
            <w:shd w:val="clear" w:color="auto" w:fill="0891B2"/>
            <w:tcW w:type="dxa" w:w="3347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Rubrique</w:t>
            </w:r>
          </w:p>
        </w:tc>
        <w:tc>
          <w:tcPr>
            <w:shd w:val="clear" w:color="auto" w:fill="0891B2"/>
            <w:tcW w:type="dxa" w:w="6290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Contenu</w:t>
            </w:r>
          </w:p>
        </w:tc>
      </w:tr>
      <w:tr>
        <w:tc>
          <w:tcPr>
            <w:tcW w:type="dxa" w:w="3347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Intitulé du traitement</w:t>
            </w:r>
          </w:p>
        </w:tc>
        <w:tc>
          <w:tcPr>
            <w:tcW w:type="dxa" w:w="6290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Aide à l’évaluation pédagogique assistée par intelligence artificielle (service EvalIA)</w:t>
            </w:r>
          </w:p>
        </w:tc>
      </w:tr>
      <w:tr>
        <w:tc>
          <w:tcPr>
            <w:tcW w:type="dxa" w:w="3347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Responsable de traitement</w:t>
            </w:r>
          </w:p>
        </w:tc>
        <w:tc>
          <w:tcPr>
            <w:tcW w:type="dxa" w:w="6290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[À COMPLÉTER : nom de l’établissement], représenté par son chef d’établissement</w:t>
            </w:r>
          </w:p>
        </w:tc>
      </w:tr>
      <w:tr>
        <w:tc>
          <w:tcPr>
            <w:tcW w:type="dxa" w:w="3347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Délégué à la protection des données</w:t>
            </w:r>
          </w:p>
        </w:tc>
        <w:tc>
          <w:tcPr>
            <w:tcW w:type="dxa" w:w="6290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[À COMPLÉTER : DPD académique et son contact]</w:t>
            </w:r>
          </w:p>
        </w:tc>
      </w:tr>
      <w:tr>
        <w:tc>
          <w:tcPr>
            <w:tcW w:type="dxa" w:w="3347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Sous-traitant principal</w:t>
            </w:r>
          </w:p>
        </w:tc>
        <w:tc>
          <w:tcPr>
            <w:tcW w:type="dxa" w:w="6290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Thomas Cavil, éditeur d’EvalIA, entrepreneur individuel (SIREN 904 625 191), contact.EvalIA@oriantation.fr, accord art. 28 signé le [À COMPLÉTER]</w:t>
            </w:r>
          </w:p>
        </w:tc>
      </w:tr>
      <w:tr>
        <w:tc>
          <w:tcPr>
            <w:tcW w:type="dxa" w:w="3347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Date de création de la fiche</w:t>
            </w:r>
          </w:p>
        </w:tc>
        <w:tc>
          <w:tcPr>
            <w:tcW w:type="dxa" w:w="6290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[À COMPLÉTER]</w:t>
            </w:r>
          </w:p>
        </w:tc>
      </w:tr>
      <w:tr>
        <w:tc>
          <w:tcPr>
            <w:tcW w:type="dxa" w:w="3347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Dernière mise à jour</w:t>
            </w:r>
          </w:p>
        </w:tc>
        <w:tc>
          <w:tcPr>
            <w:tcW w:type="dxa" w:w="6290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[À COMPLÉTER]</w:t>
            </w:r>
          </w:p>
        </w:tc>
      </w:tr>
    </w:tbl>
    <w:bookmarkEnd w:id="10"/>
    <w:bookmarkStart w:id="11" w:name="finalités-du-traitement"/>
    <w:p>
      <w:pPr>
        <w:pStyle w:val="Heading2"/>
      </w:pPr>
      <w:r>
        <w:rPr>
          <w:lang w:val="fr-FR"/>
        </w:rPr>
        <w:t xml:space="preserve">2. Finalités du traitement</w:t>
      </w:r>
    </w:p>
    <w:p>
      <w:pPr>
        <w:pStyle w:val="Compact"/>
        <w:numPr>
          <w:ilvl w:val="0"/>
          <w:numId w:val="1001"/>
        </w:numPr>
      </w:pPr>
      <w:r>
        <w:rPr>
          <w:lang w:val="fr-FR"/>
        </w:rPr>
        <w:t xml:space="preserve">Aide à la correction de copies avec proposition de notation par compétences, validée par l’enseignant</w:t>
      </w:r>
    </w:p>
    <w:p>
      <w:pPr>
        <w:pStyle w:val="Compact"/>
        <w:numPr>
          <w:ilvl w:val="0"/>
          <w:numId w:val="1001"/>
        </w:numPr>
      </w:pPr>
      <w:r>
        <w:rPr>
          <w:lang w:val="fr-FR"/>
        </w:rPr>
        <w:t xml:space="preserve">Génération et gestion de barèmes d’évaluation</w:t>
      </w:r>
    </w:p>
    <w:p>
      <w:pPr>
        <w:pStyle w:val="Compact"/>
        <w:numPr>
          <w:ilvl w:val="0"/>
          <w:numId w:val="1001"/>
        </w:numPr>
      </w:pPr>
      <w:r>
        <w:rPr>
          <w:lang w:val="fr-FR"/>
        </w:rPr>
        <w:t xml:space="preserve">Création de contenus pédagogiques (documents, exercices interactifs, visuels)</w:t>
      </w:r>
    </w:p>
    <w:p>
      <w:pPr>
        <w:pStyle w:val="Compact"/>
        <w:numPr>
          <w:ilvl w:val="0"/>
          <w:numId w:val="1001"/>
        </w:numPr>
      </w:pPr>
      <w:r>
        <w:rPr>
          <w:lang w:val="fr-FR"/>
        </w:rPr>
        <w:t xml:space="preserve">Distribution d’exercices, de ressources et de plans de travail aux élèves</w:t>
      </w:r>
    </w:p>
    <w:p>
      <w:pPr>
        <w:pStyle w:val="Compact"/>
        <w:numPr>
          <w:ilvl w:val="0"/>
          <w:numId w:val="1001"/>
        </w:numPr>
      </w:pPr>
      <w:r>
        <w:rPr>
          <w:lang w:val="fr-FR"/>
        </w:rPr>
        <w:t xml:space="preserve">Suivi de la progression et remédiation personnalisée</w:t>
      </w:r>
    </w:p>
    <w:p>
      <w:pPr>
        <w:pStyle w:val="Compact"/>
        <w:numPr>
          <w:ilvl w:val="0"/>
          <w:numId w:val="1001"/>
        </w:numPr>
      </w:pPr>
      <w:r>
        <w:rPr>
          <w:lang w:val="fr-FR"/>
        </w:rPr>
        <w:t xml:space="preserve">Consultation par l’élève de ses corrections publiées (portfolio)</w:t>
      </w:r>
    </w:p>
    <w:bookmarkEnd w:id="11"/>
    <w:bookmarkStart w:id="12" w:name="base-légale"/>
    <w:p>
      <w:pPr>
        <w:pStyle w:val="Heading2"/>
      </w:pPr>
      <w:r>
        <w:rPr>
          <w:lang w:val="fr-FR"/>
        </w:rPr>
        <w:t xml:space="preserve">3. Base légale</w:t>
      </w:r>
    </w:p>
    <w:p>
      <w:pPr>
        <w:pStyle w:val="FirstParagraph"/>
      </w:pPr>
      <w:r>
        <w:rPr>
          <w:lang w:val="fr-FR"/>
        </w:rPr>
        <w:t xml:space="preserve">Mission d’intérêt public dont est investi l’établissement (article 6.1.e du RGPD) pour les données d’élèves ; exécution du contrat pour les données de compte de l’enseignant (traitées par l’éditeur en qualité de responsable de traitement, hors périmètre de cette fiche).</w:t>
      </w:r>
    </w:p>
    <w:bookmarkEnd w:id="12"/>
    <w:bookmarkStart w:id="13" w:name="catégories-de-personnes-concernées"/>
    <w:p>
      <w:pPr>
        <w:pStyle w:val="Heading2"/>
      </w:pPr>
      <w:r>
        <w:rPr>
          <w:lang w:val="fr-FR"/>
        </w:rPr>
        <w:t xml:space="preserve">4. Catégories de personnes concernées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fr-FR"/>
        </w:rPr>
        <w:t xml:space="preserve">Élèves</w:t>
      </w:r>
      <w:r>
        <w:rPr>
          <w:lang w:val="fr-FR"/>
        </w:rPr>
        <w:t xml:space="preserve"> </w:t>
      </w:r>
      <w:r>
        <w:rPr>
          <w:lang w:val="fr-FR"/>
        </w:rPr>
        <w:t xml:space="preserve">de l’établissement (dont mineurs) : personnes concernées principales, sans compte sur le service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fr-FR"/>
        </w:rPr>
        <w:t xml:space="preserve">Enseignants utilisateurs</w:t>
      </w:r>
      <w:r>
        <w:rPr>
          <w:lang w:val="fr-FR"/>
        </w:rPr>
        <w:t xml:space="preserve"> </w:t>
      </w:r>
      <w:r>
        <w:rPr>
          <w:lang w:val="fr-FR"/>
        </w:rPr>
        <w:t xml:space="preserve">: pour leurs données d’usage pédagogique</w:t>
      </w:r>
    </w:p>
    <w:bookmarkEnd w:id="13"/>
    <w:bookmarkStart w:id="14" w:name="catégories-de-données-traitées"/>
    <w:p>
      <w:pPr>
        <w:pStyle w:val="Heading2"/>
      </w:pPr>
      <w:r>
        <w:rPr>
          <w:lang w:val="fr-FR"/>
        </w:rPr>
        <w:t xml:space="preserve">5. Catégories de données traitées</w:t>
      </w:r>
    </w:p>
    <w:tbl>
      <w:tblPr>
        <w:tblStyle w:val="Table"/>
        <w:tblW w:type="dxa" w:w="9638"/>
        <w:tblLayout w:type="fixed"/>
        <w:tblLook w:firstRow="1" w:lastRow="0" w:firstColumn="0" w:lastColumn="0" w:noHBand="0" w:noVBand="0" w:val="0020"/>
      </w:tblPr>
      <w:tblGrid>
        <w:gridCol w:w="1699"/>
        <w:gridCol w:w="2968"/>
        <w:gridCol w:w="4969"/>
      </w:tblGrid>
      <w:tr>
        <w:trPr>
          <w:tblHeader w:val="on"/>
        </w:trPr>
        <w:tc>
          <w:tcPr>
            <w:shd w:val="clear" w:color="auto" w:fill="0891B2"/>
            <w:tcW w:type="dxa" w:w="1699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Catégorie</w:t>
            </w:r>
          </w:p>
        </w:tc>
        <w:tc>
          <w:tcPr>
            <w:shd w:val="clear" w:color="auto" w:fill="0891B2"/>
            <w:tcW w:type="dxa" w:w="2968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Détail</w:t>
            </w:r>
          </w:p>
        </w:tc>
        <w:tc>
          <w:tcPr>
            <w:shd w:val="clear" w:color="auto" w:fill="0891B2"/>
            <w:tcW w:type="dxa" w:w="4969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Remarque</w:t>
            </w:r>
          </w:p>
        </w:tc>
      </w:tr>
      <w:tr>
        <w:tc>
          <w:tcPr>
            <w:tcW w:type="dxa" w:w="169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Copies d’élèves</w:t>
            </w:r>
          </w:p>
        </w:tc>
        <w:tc>
          <w:tcPr>
            <w:tcW w:type="dxa" w:w="2968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Image ou PDF de la copie</w:t>
            </w:r>
          </w:p>
        </w:tc>
        <w:tc>
          <w:tcPr>
            <w:tcW w:type="dxa" w:w="496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En-tête (nom, prénom, classe) masqué avant toute analyse par l’IA ; conservation 30 jours après la correction, au plus tard le 31 août</w:t>
            </w:r>
          </w:p>
        </w:tc>
      </w:tr>
      <w:tr>
        <w:tc>
          <w:tcPr>
            <w:tcW w:type="dxa" w:w="169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Identité élève (suivi)</w:t>
            </w:r>
          </w:p>
        </w:tc>
        <w:tc>
          <w:tcPr>
            <w:tcW w:type="dxa" w:w="2968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Prénom uniquement</w:t>
            </w:r>
          </w:p>
        </w:tc>
        <w:tc>
          <w:tcPr>
            <w:tcW w:type="dxa" w:w="496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Chiffré dans le navigateur de l’enseignant (zero-knowledge), illisible par le sous-traitant</w:t>
            </w:r>
          </w:p>
        </w:tc>
      </w:tr>
      <w:tr>
        <w:tc>
          <w:tcPr>
            <w:tcW w:type="dxa" w:w="169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Résultats</w:t>
            </w:r>
          </w:p>
        </w:tc>
        <w:tc>
          <w:tcPr>
            <w:tcW w:type="dxa" w:w="2968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Notes, niveaux de compétences, commentaires</w:t>
            </w:r>
          </w:p>
        </w:tc>
        <w:tc>
          <w:tcPr>
            <w:tcW w:type="dxa" w:w="496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Validés par l’enseignant</w:t>
            </w:r>
          </w:p>
        </w:tc>
      </w:tr>
      <w:tr>
        <w:tc>
          <w:tcPr>
            <w:tcW w:type="dxa" w:w="169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Réponses aux exercices et plans de travail</w:t>
            </w:r>
          </w:p>
        </w:tc>
        <w:tc>
          <w:tcPr>
            <w:tcW w:type="dxa" w:w="2968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Réponses, progression</w:t>
            </w:r>
          </w:p>
        </w:tc>
        <w:tc>
          <w:tcPr>
            <w:tcW w:type="dxa" w:w="496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Accès élève par lien sécurisé + prénom et code, sans compte ni email</w:t>
            </w:r>
          </w:p>
        </w:tc>
      </w:tr>
      <w:tr>
        <w:tc>
          <w:tcPr>
            <w:tcW w:type="dxa" w:w="169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Logs techniques</w:t>
            </w:r>
          </w:p>
        </w:tc>
        <w:tc>
          <w:tcPr>
            <w:tcW w:type="dxa" w:w="2968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Horodatage, adresse IP, événements de sécurité</w:t>
            </w:r>
          </w:p>
        </w:tc>
        <w:tc>
          <w:tcPr>
            <w:tcW w:type="dxa" w:w="496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Finalité sécurité et audit</w:t>
            </w:r>
          </w:p>
        </w:tc>
      </w:tr>
      <w:tr>
        <w:tc>
          <w:tcPr>
            <w:tcW w:type="dxa" w:w="169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Journal technique du canal élève</w:t>
            </w:r>
          </w:p>
        </w:tc>
        <w:tc>
          <w:tcPr>
            <w:tcW w:type="dxa" w:w="2968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Événements techniques d’échec sur les surfaces élève (portfolio, exercices, plans de travail) : surface, événement et raison en vocabulaires fermés, identifiant du professeur propriétaire, condensé du lien tenté</w:t>
            </w:r>
          </w:p>
        </w:tc>
        <w:tc>
          <w:tcPr>
            <w:tcW w:type="dxa" w:w="496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Pseudonyme : ni nom ni prénom d’élève, ni contenu d’élève, ni adresse IP, ni lien en clair (cf. AIPD v4.21) ; finalité support et diagnostic (sécurité et bon fonctionnement du canal élève) ; conservation 90 jours (suppression automatique) ; purgé à la suppression du compte enseignant</w:t>
            </w:r>
          </w:p>
        </w:tc>
      </w:tr>
    </w:tbl>
    <w:p>
      <w:pPr>
        <w:pStyle w:val="BodyText"/>
      </w:pPr>
      <w:r>
        <w:rPr>
          <w:b/>
          <w:bCs/>
          <w:lang w:val="fr-FR"/>
        </w:rPr>
        <w:t xml:space="preserve">Aucune donnée sensible (article 9)</w:t>
      </w:r>
      <w:r>
        <w:rPr>
          <w:lang w:val="fr-FR"/>
        </w:rPr>
        <w:t xml:space="preserve"> </w:t>
      </w:r>
      <w:r>
        <w:rPr>
          <w:lang w:val="fr-FR"/>
        </w:rPr>
        <w:t xml:space="preserve">: les profils d’adaptation pédagogique sont des modèles génériques de l’enseignant, jamais rattachés à un élève identifié (argumentaire détaillé dans l’AIPD).</w:t>
      </w:r>
    </w:p>
    <w:bookmarkEnd w:id="14"/>
    <w:bookmarkStart w:id="15" w:name="destinataires"/>
    <w:p>
      <w:pPr>
        <w:pStyle w:val="Heading2"/>
      </w:pPr>
      <w:r>
        <w:rPr>
          <w:lang w:val="fr-FR"/>
        </w:rPr>
        <w:t xml:space="preserve">6. Destinataires</w:t>
      </w:r>
    </w:p>
    <w:p>
      <w:pPr>
        <w:pStyle w:val="Compact"/>
        <w:numPr>
          <w:ilvl w:val="0"/>
          <w:numId w:val="1003"/>
        </w:numPr>
      </w:pPr>
      <w:r>
        <w:rPr>
          <w:lang w:val="fr-FR"/>
        </w:rPr>
        <w:t xml:space="preserve">L’enseignant concerné (seul accès à ses classes et corrections)</w:t>
      </w:r>
    </w:p>
    <w:p>
      <w:pPr>
        <w:pStyle w:val="Compact"/>
        <w:numPr>
          <w:ilvl w:val="0"/>
          <w:numId w:val="1003"/>
        </w:numPr>
      </w:pPr>
      <w:r>
        <w:rPr>
          <w:lang w:val="fr-FR"/>
        </w:rPr>
        <w:t xml:space="preserve">L’élève concerné, pour ses propres résultats publiés (portfolio à accès authentifié)</w:t>
      </w:r>
    </w:p>
    <w:p>
      <w:pPr>
        <w:pStyle w:val="Compact"/>
        <w:numPr>
          <w:ilvl w:val="0"/>
          <w:numId w:val="1003"/>
        </w:numPr>
      </w:pPr>
      <w:r>
        <w:rPr>
          <w:lang w:val="fr-FR"/>
        </w:rPr>
        <w:t xml:space="preserve">Le sous-traitant EvalIA et ses sous-traitants ultérieurs autorisés : Google Cloud (hébergement et IA, régions Union européenne), Vercel (hébergement applicatif, UE), Sentry (supervision d’erreurs, UE)</w:t>
      </w:r>
    </w:p>
    <w:p>
      <w:pPr>
        <w:pStyle w:val="Compact"/>
        <w:numPr>
          <w:ilvl w:val="0"/>
          <w:numId w:val="1003"/>
        </w:numPr>
      </w:pPr>
      <w:r>
        <w:rPr>
          <w:lang w:val="fr-FR"/>
        </w:rPr>
        <w:t xml:space="preserve">Aucune transmission à des tiers à des fins commerciales ; aucune publicité ; aucun profilage commercial</w:t>
      </w:r>
    </w:p>
    <w:bookmarkEnd w:id="15"/>
    <w:bookmarkStart w:id="16" w:name="transferts-hors-union-européenne"/>
    <w:p>
      <w:pPr>
        <w:pStyle w:val="Heading2"/>
      </w:pPr>
      <w:r>
        <w:rPr>
          <w:lang w:val="fr-FR"/>
        </w:rPr>
        <w:t xml:space="preserve">7. Transferts hors Union européenne</w:t>
      </w:r>
    </w:p>
    <w:p>
      <w:pPr>
        <w:pStyle w:val="FirstParagraph"/>
      </w:pPr>
      <w:r>
        <w:rPr>
          <w:lang w:val="fr-FR"/>
        </w:rPr>
        <w:t xml:space="preserve">Aucun transfert de données d’élèves hors UE. Les copies sont stockées et analysées dans l’Union européenne. Exceptions limitées, sans données d’élèves, encadrées par clauses contractuelles types : détaillées dans l’accord de sous-traitance (article 5.2).</w:t>
      </w:r>
    </w:p>
    <w:bookmarkEnd w:id="16"/>
    <w:bookmarkStart w:id="17" w:name="durées-de-conservation"/>
    <w:p>
      <w:pPr>
        <w:pStyle w:val="Heading2"/>
      </w:pPr>
      <w:r>
        <w:rPr>
          <w:lang w:val="fr-FR"/>
        </w:rPr>
        <w:t xml:space="preserve">8. Durées de conservation</w:t>
      </w:r>
    </w:p>
    <w:tbl>
      <w:tblPr>
        <w:tblStyle w:val="Table"/>
        <w:tblW w:type="dxa" w:w="9638"/>
        <w:tblLayout w:type="fixed"/>
        <w:tblLook w:firstRow="1" w:lastRow="0" w:firstColumn="0" w:lastColumn="0" w:noHBand="0" w:noVBand="0" w:val="0020"/>
      </w:tblPr>
      <w:tblGrid>
        <w:gridCol w:w="3697"/>
        <w:gridCol w:w="5940"/>
      </w:tblGrid>
      <w:tr>
        <w:trPr>
          <w:tblHeader w:val="on"/>
        </w:trPr>
        <w:tc>
          <w:tcPr>
            <w:shd w:val="clear" w:color="auto" w:fill="0891B2"/>
            <w:tcW w:type="dxa" w:w="3697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Données</w:t>
            </w:r>
          </w:p>
        </w:tc>
        <w:tc>
          <w:tcPr>
            <w:shd w:val="clear" w:color="auto" w:fill="0891B2"/>
            <w:tcW w:type="dxa" w:w="5940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Durée</w:t>
            </w:r>
          </w:p>
        </w:tc>
      </w:tr>
      <w:tr>
        <w:tc>
          <w:tcPr>
            <w:tcW w:type="dxa" w:w="3697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Copies (original et copie annotée publiée)</w:t>
            </w:r>
          </w:p>
        </w:tc>
        <w:tc>
          <w:tcPr>
            <w:tcW w:type="dxa" w:w="5940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30 jours après la correction, au plus tard le 31 août, puis suppression automatique</w:t>
            </w:r>
          </w:p>
        </w:tc>
      </w:tr>
      <w:tr>
        <w:tc>
          <w:tcPr>
            <w:tcW w:type="dxa" w:w="3697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Corrections et barèmes</w:t>
            </w:r>
          </w:p>
        </w:tc>
        <w:tc>
          <w:tcPr>
            <w:tcW w:type="dxa" w:w="5940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Jusqu’à suppression par l’enseignant ou 2 ans d’inactivité du compte</w:t>
            </w:r>
          </w:p>
        </w:tc>
      </w:tr>
      <w:tr>
        <w:tc>
          <w:tcPr>
            <w:tcW w:type="dxa" w:w="3697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Réponses aux exercices, plans de travail</w:t>
            </w:r>
          </w:p>
        </w:tc>
        <w:tc>
          <w:tcPr>
            <w:tcW w:type="dxa" w:w="5940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Année scolaire en cours (publications expirant au 31 août)</w:t>
            </w:r>
          </w:p>
        </w:tc>
      </w:tr>
      <w:tr>
        <w:tc>
          <w:tcPr>
            <w:tcW w:type="dxa" w:w="3697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Logs techniques</w:t>
            </w:r>
          </w:p>
        </w:tc>
        <w:tc>
          <w:tcPr>
            <w:tcW w:type="dxa" w:w="5940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12 à 24 mois selon la nature</w:t>
            </w:r>
          </w:p>
        </w:tc>
      </w:tr>
    </w:tbl>
    <w:p>
      <w:pPr>
        <w:pStyle w:val="BodyText"/>
      </w:pPr>
      <w:r>
        <w:rPr>
          <w:lang w:val="fr-FR"/>
        </w:rPr>
        <w:t xml:space="preserve">Les sauvegardes techniques chiffrées (rétention 7 à 28 jours) prolongent d’au plus 28 jours la disparition définitive des données après leur suppression, par rotation normale des sauvegardes.</w:t>
      </w:r>
    </w:p>
    <w:bookmarkEnd w:id="17"/>
    <w:bookmarkStart w:id="18" w:name="mesures-de-sécurité-principales"/>
    <w:p>
      <w:pPr>
        <w:pStyle w:val="Heading2"/>
      </w:pPr>
      <w:r>
        <w:rPr>
          <w:lang w:val="fr-FR"/>
        </w:rPr>
        <w:t xml:space="preserve">9. Mesures de sécurité principales</w:t>
      </w:r>
    </w:p>
    <w:p>
      <w:pPr>
        <w:pStyle w:val="Compact"/>
        <w:numPr>
          <w:ilvl w:val="0"/>
          <w:numId w:val="1004"/>
        </w:numPr>
      </w:pPr>
      <w:r>
        <w:rPr>
          <w:lang w:val="fr-FR"/>
        </w:rPr>
        <w:t xml:space="preserve">Chiffrement en transit (TLS) et au repos ; prénoms d’élèves chiffrés de bout en bout côté client</w:t>
      </w:r>
    </w:p>
    <w:p>
      <w:pPr>
        <w:pStyle w:val="Compact"/>
        <w:numPr>
          <w:ilvl w:val="0"/>
          <w:numId w:val="1004"/>
        </w:numPr>
      </w:pPr>
      <w:r>
        <w:rPr>
          <w:lang w:val="fr-FR"/>
        </w:rPr>
        <w:t xml:space="preserve">Authentification de l’enseignant avec double authentification (TOTP) proposée ; déconnexion automatique sur inactivité pour les postes partagés</w:t>
      </w:r>
    </w:p>
    <w:p>
      <w:pPr>
        <w:pStyle w:val="Compact"/>
        <w:numPr>
          <w:ilvl w:val="0"/>
          <w:numId w:val="1004"/>
        </w:numPr>
      </w:pPr>
      <w:r>
        <w:rPr>
          <w:lang w:val="fr-FR"/>
        </w:rPr>
        <w:t xml:space="preserve">Cloisonnement strict des données par enseignant ; règles d’accès en refus par défaut</w:t>
      </w:r>
    </w:p>
    <w:p>
      <w:pPr>
        <w:pStyle w:val="Compact"/>
        <w:numPr>
          <w:ilvl w:val="0"/>
          <w:numId w:val="1004"/>
        </w:numPr>
      </w:pPr>
      <w:r>
        <w:rPr>
          <w:lang w:val="fr-FR"/>
        </w:rPr>
        <w:t xml:space="preserve">Supervision humaine systématique de l’IA (aucune note communiquée sans validation de l’enseignant)</w:t>
      </w:r>
    </w:p>
    <w:p>
      <w:pPr>
        <w:pStyle w:val="Compact"/>
        <w:numPr>
          <w:ilvl w:val="0"/>
          <w:numId w:val="1004"/>
        </w:numPr>
      </w:pPr>
      <w:r>
        <w:rPr>
          <w:lang w:val="fr-FR"/>
        </w:rPr>
        <w:t xml:space="preserve">Journal d’audit des actions sensibles ; tests de sécurité automatisés</w:t>
      </w:r>
    </w:p>
    <w:p>
      <w:pPr>
        <w:pStyle w:val="Compact"/>
        <w:numPr>
          <w:ilvl w:val="0"/>
          <w:numId w:val="1004"/>
        </w:numPr>
      </w:pPr>
      <w:r>
        <w:rPr>
          <w:lang w:val="fr-FR"/>
        </w:rPr>
        <w:t xml:space="preserve">Sauvegardes chiffrées quotidiennes et hebdomadaires avec restauration testée (continuité d’activité) ; rétention courte (7 à 28 jours) cohérente avec la minimisation</w:t>
      </w:r>
    </w:p>
    <w:p>
      <w:pPr>
        <w:pStyle w:val="Compact"/>
        <w:numPr>
          <w:ilvl w:val="0"/>
          <w:numId w:val="1004"/>
        </w:numPr>
      </w:pPr>
      <w:r>
        <w:rPr>
          <w:lang w:val="fr-FR"/>
        </w:rPr>
        <w:t xml:space="preserve">Procédure documentée de gestion des incidents et violations de données (notification CNIL sous 72 h, information du responsable de traitement sans délai indu)</w:t>
      </w:r>
    </w:p>
    <w:p>
      <w:pPr>
        <w:pStyle w:val="Compact"/>
        <w:numPr>
          <w:ilvl w:val="0"/>
          <w:numId w:val="1004"/>
        </w:numPr>
      </w:pPr>
      <w:r>
        <w:rPr>
          <w:lang w:val="fr-FR"/>
        </w:rPr>
        <w:t xml:space="preserve">Gestion des secrets avec rotation documentée des clés d’accès</w:t>
      </w:r>
    </w:p>
    <w:p>
      <w:pPr>
        <w:pStyle w:val="Compact"/>
        <w:numPr>
          <w:ilvl w:val="0"/>
          <w:numId w:val="1004"/>
        </w:numPr>
      </w:pPr>
      <w:r>
        <w:rPr>
          <w:lang w:val="fr-FR"/>
        </w:rPr>
        <w:t xml:space="preserve">Détail complet : AIPD de l’éditeur (communicable sur demande) et accord de sous-traitance joint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  <w:lang w:val="fr-FR"/>
        </w:rPr>
        <w:t xml:space="preserve">Modèle préparé par l’éditeur d’EvalIA pour faciliter la tenue du registre de l’établissement. À adapter et valider avec le délégué à la protection des données de l’académie.</w:t>
      </w:r>
    </w:p>
    <w:bookmarkEnd w:id="18"/>
    <w:bookmarkEnd w:id="19"/>
    <w:sectPr>
      <w:footnotePr>
        <w:numRestart w:val="eachSect"/>
      </w:footnotePr>
      <w:pgSz w:w="11906" w:h="16838"/>
      <w:pgMar w:top="1440" w:right="1134" w:bottom="1440" w:left="1134" w:header="720" w:footer="720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fr-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pBdr>
        <w:bottom w:color="0891B2" w:space="4" w:sz="18" w:val="single"/>
      </w:pBdr>
      <w:keepNext/>
      <w:keepLines/>
      <w:spacing w:after="80" w:before="360"/>
      <w:outlineLvl w:val="0"/>
    </w:pPr>
    <w:rPr>
      <w:b/>
      <w:color w:val="1A3263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pBdr>
        <w:bottom w:color="0891B2" w:space="2" w:sz="8" w:val="single"/>
      </w:pBdr>
      <w:keepNext/>
      <w:keepLines/>
      <w:spacing w:after="80" w:before="160"/>
      <w:outlineLvl w:val="1"/>
    </w:pPr>
    <w:rPr>
      <w:b/>
      <w:color w:val="0891B2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b/>
      <w:color w:val="0891B2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b/>
      <w:color w:val="334155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fr-FR</dc:language>
  <cp:keywords/>
  <dcterms:created xsi:type="dcterms:W3CDTF">2026-09-11T14:43:35Z</dcterms:created>
  <dcterms:modified xsi:type="dcterms:W3CDTF">2026-09-11T14:43:35Z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